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FD090">
      <w:pPr>
        <w:spacing w:line="360" w:lineRule="auto"/>
        <w:jc w:val="center"/>
        <w:rPr>
          <w:rFonts w:hint="eastAsia" w:ascii="仿宋_GB2312" w:eastAsia="仿宋_GB2312"/>
          <w:color w:val="FF0000"/>
          <w:sz w:val="28"/>
        </w:rPr>
      </w:pPr>
    </w:p>
    <w:p w14:paraId="07FA79A4">
      <w:pPr>
        <w:spacing w:line="360" w:lineRule="auto"/>
        <w:jc w:val="center"/>
        <w:rPr>
          <w:rFonts w:ascii="仿宋_GB2312" w:eastAsia="仿宋_GB2312"/>
          <w:color w:val="FF0000"/>
          <w:sz w:val="28"/>
        </w:rPr>
      </w:pPr>
    </w:p>
    <w:p w14:paraId="1A913F65">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b/>
          <w:color w:val="auto"/>
          <w:sz w:val="48"/>
          <w:szCs w:val="48"/>
        </w:rPr>
      </w:pPr>
      <w:r>
        <w:rPr>
          <w:rFonts w:hint="default" w:ascii="Times New Roman" w:hAnsi="Times New Roman" w:cs="Times New Roman" w:eastAsiaTheme="minorEastAsia"/>
          <w:b/>
          <w:color w:val="auto"/>
          <w:sz w:val="48"/>
          <w:szCs w:val="48"/>
        </w:rPr>
        <w:t>建设项目竣工环境保护</w:t>
      </w:r>
    </w:p>
    <w:p w14:paraId="1C6C2F3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b/>
          <w:color w:val="auto"/>
          <w:sz w:val="48"/>
          <w:szCs w:val="48"/>
        </w:rPr>
      </w:pPr>
      <w:r>
        <w:rPr>
          <w:rFonts w:hint="default" w:ascii="Times New Roman" w:hAnsi="Times New Roman" w:cs="Times New Roman" w:eastAsiaTheme="minorEastAsia"/>
          <w:b/>
          <w:color w:val="auto"/>
          <w:sz w:val="48"/>
          <w:szCs w:val="48"/>
        </w:rPr>
        <w:t>验收监测报告表</w:t>
      </w:r>
    </w:p>
    <w:p w14:paraId="04873B35">
      <w:pPr>
        <w:spacing w:line="360" w:lineRule="auto"/>
        <w:jc w:val="center"/>
        <w:rPr>
          <w:rFonts w:ascii="仿宋_GB2312" w:eastAsia="仿宋_GB2312"/>
          <w:color w:val="auto"/>
          <w:sz w:val="28"/>
        </w:rPr>
      </w:pPr>
    </w:p>
    <w:p w14:paraId="27601F15">
      <w:pPr>
        <w:jc w:val="center"/>
        <w:rPr>
          <w:rFonts w:hint="eastAsia" w:ascii="仿宋_GB2312" w:eastAsia="仿宋_GB2312"/>
          <w:color w:val="auto"/>
          <w:sz w:val="28"/>
        </w:rPr>
      </w:pPr>
    </w:p>
    <w:p w14:paraId="015147EC">
      <w:pPr>
        <w:pStyle w:val="10"/>
        <w:rPr>
          <w:rFonts w:hint="eastAsia" w:ascii="仿宋_GB2312" w:eastAsia="仿宋_GB2312"/>
          <w:color w:val="auto"/>
          <w:sz w:val="28"/>
          <w:lang w:eastAsia="zh-CN"/>
        </w:rPr>
      </w:pPr>
    </w:p>
    <w:p w14:paraId="3AADD551">
      <w:pPr>
        <w:pStyle w:val="2"/>
        <w:rPr>
          <w:rFonts w:ascii="仿宋_GB2312" w:eastAsia="仿宋_GB2312"/>
          <w:color w:val="auto"/>
          <w:sz w:val="28"/>
        </w:rPr>
      </w:pPr>
    </w:p>
    <w:p w14:paraId="43DC6217">
      <w:pPr>
        <w:rPr>
          <w:rFonts w:ascii="仿宋_GB2312" w:eastAsia="仿宋_GB2312"/>
          <w:color w:val="auto"/>
          <w:sz w:val="28"/>
        </w:rPr>
      </w:pPr>
    </w:p>
    <w:p w14:paraId="3CB169A4">
      <w:pPr>
        <w:rPr>
          <w:rFonts w:ascii="仿宋_GB2312" w:eastAsia="仿宋_GB2312"/>
          <w:color w:val="auto"/>
          <w:sz w:val="28"/>
        </w:rPr>
      </w:pPr>
      <w:r>
        <w:rPr>
          <w:rFonts w:ascii="仿宋_GB2312" w:eastAsia="仿宋_GB2312"/>
          <w:color w:val="auto"/>
          <w:sz w:val="28"/>
        </w:rPr>
        <w:tab/>
      </w:r>
    </w:p>
    <w:p w14:paraId="2C9D9E15">
      <w:pPr>
        <w:jc w:val="center"/>
        <w:rPr>
          <w:rFonts w:hint="default" w:ascii="Times New Roman" w:hAnsi="Times New Roman" w:eastAsia="宋体" w:cs="Times New Roman"/>
          <w:color w:val="auto"/>
          <w:sz w:val="32"/>
          <w:szCs w:val="32"/>
          <w:highlight w:val="none"/>
          <w:lang w:val="en-US" w:eastAsia="zh-CN"/>
        </w:rPr>
      </w:pPr>
      <w:r>
        <w:rPr>
          <w:rFonts w:hint="default" w:ascii="Times New Roman" w:hAnsi="Times New Roman" w:eastAsia="宋体" w:cs="Times New Roman"/>
          <w:color w:val="auto"/>
          <w:sz w:val="32"/>
          <w:szCs w:val="32"/>
          <w:lang w:val="en-US" w:eastAsia="zh-CN"/>
        </w:rPr>
        <w:t>项目名称：</w:t>
      </w:r>
      <w:r>
        <w:rPr>
          <w:rFonts w:hint="eastAsia" w:ascii="Times New Roman" w:hAnsi="Times New Roman" w:eastAsia="宋体" w:cs="Times New Roman"/>
          <w:color w:val="auto"/>
          <w:sz w:val="32"/>
          <w:szCs w:val="32"/>
          <w:u w:val="single"/>
          <w:lang w:val="en-US" w:eastAsia="zh-CN"/>
        </w:rPr>
        <w:t xml:space="preserve">   </w:t>
      </w:r>
      <w:r>
        <w:rPr>
          <w:rFonts w:hint="eastAsia" w:ascii="Times New Roman" w:hAnsi="Times New Roman" w:eastAsia="宋体" w:cs="Times New Roman"/>
          <w:color w:val="auto"/>
          <w:sz w:val="32"/>
          <w:szCs w:val="32"/>
          <w:u w:val="single"/>
          <w:lang w:eastAsia="zh-CN"/>
        </w:rPr>
        <w:t>年产1.2亿平方米PVC保护膜项目</w:t>
      </w:r>
      <w:r>
        <w:rPr>
          <w:rFonts w:hint="eastAsia" w:ascii="Times New Roman" w:hAnsi="Times New Roman" w:eastAsia="宋体" w:cs="Times New Roman"/>
          <w:color w:val="auto"/>
          <w:sz w:val="32"/>
          <w:szCs w:val="32"/>
          <w:highlight w:val="none"/>
          <w:u w:val="single"/>
          <w:lang w:eastAsia="zh-CN"/>
        </w:rPr>
        <w:t>（现阶段）</w:t>
      </w:r>
    </w:p>
    <w:p w14:paraId="11949B3F">
      <w:pPr>
        <w:ind w:firstLine="640" w:firstLineChars="200"/>
        <w:jc w:val="both"/>
        <w:rPr>
          <w:rFonts w:hint="default" w:ascii="Times New Roman" w:hAnsi="Times New Roman" w:eastAsia="宋体" w:cs="Times New Roman"/>
          <w:color w:val="auto"/>
          <w:sz w:val="32"/>
          <w:szCs w:val="32"/>
          <w:lang w:val="en-US" w:eastAsia="zh-CN"/>
        </w:rPr>
      </w:pPr>
      <w:r>
        <w:rPr>
          <w:rFonts w:hint="default" w:ascii="Times New Roman" w:hAnsi="Times New Roman" w:eastAsia="宋体" w:cs="Times New Roman"/>
          <w:color w:val="auto"/>
          <w:sz w:val="32"/>
          <w:szCs w:val="32"/>
        </w:rPr>
        <w:t>建设单位</w:t>
      </w:r>
      <w:r>
        <w:rPr>
          <w:rFonts w:hint="eastAsia" w:ascii="Times New Roman" w:hAnsi="Times New Roman" w:eastAsia="宋体" w:cs="Times New Roman"/>
          <w:color w:val="auto"/>
          <w:sz w:val="32"/>
          <w:szCs w:val="32"/>
          <w:lang w:eastAsia="zh-CN"/>
        </w:rPr>
        <w:t>：</w:t>
      </w:r>
      <w:r>
        <w:rPr>
          <w:rFonts w:hint="eastAsia" w:ascii="Times New Roman" w:hAnsi="Times New Roman" w:eastAsia="宋体" w:cs="Times New Roman"/>
          <w:color w:val="auto"/>
          <w:sz w:val="32"/>
          <w:szCs w:val="32"/>
          <w:u w:val="single"/>
          <w:lang w:val="en-US" w:eastAsia="zh-CN"/>
        </w:rPr>
        <w:t xml:space="preserve">       </w:t>
      </w:r>
      <w:r>
        <w:rPr>
          <w:rFonts w:hint="eastAsia" w:ascii="Times New Roman" w:hAnsi="Times New Roman" w:eastAsia="宋体" w:cs="Times New Roman"/>
          <w:color w:val="auto"/>
          <w:sz w:val="32"/>
          <w:szCs w:val="32"/>
          <w:u w:val="single"/>
          <w:lang w:eastAsia="zh-CN"/>
        </w:rPr>
        <w:t>黄山市航瑞新材料有限公司</w:t>
      </w:r>
      <w:r>
        <w:rPr>
          <w:rFonts w:hint="eastAsia" w:ascii="Times New Roman" w:hAnsi="Times New Roman" w:eastAsia="宋体" w:cs="Times New Roman"/>
          <w:color w:val="auto"/>
          <w:sz w:val="32"/>
          <w:szCs w:val="32"/>
          <w:u w:val="single"/>
          <w:lang w:val="en-US" w:eastAsia="zh-CN"/>
        </w:rPr>
        <w:t xml:space="preserve">       </w:t>
      </w:r>
    </w:p>
    <w:p w14:paraId="3CC4989A">
      <w:pPr>
        <w:spacing w:line="360" w:lineRule="auto"/>
        <w:ind w:firstLine="560" w:firstLineChars="200"/>
        <w:rPr>
          <w:rFonts w:hint="default" w:ascii="华文新魏" w:eastAsia="华文新魏"/>
          <w:color w:val="auto"/>
          <w:sz w:val="28"/>
          <w:szCs w:val="28"/>
          <w:lang w:val="en-US" w:eastAsia="zh-CN"/>
        </w:rPr>
      </w:pPr>
    </w:p>
    <w:p w14:paraId="01C3FE43">
      <w:pPr>
        <w:pStyle w:val="10"/>
        <w:rPr>
          <w:rFonts w:hint="default" w:ascii="华文新魏" w:eastAsia="华文新魏"/>
          <w:color w:val="FF0000"/>
          <w:sz w:val="28"/>
          <w:szCs w:val="28"/>
          <w:lang w:val="en-US" w:eastAsia="zh-CN"/>
        </w:rPr>
      </w:pPr>
    </w:p>
    <w:p w14:paraId="1B13F143">
      <w:pPr>
        <w:pStyle w:val="2"/>
        <w:rPr>
          <w:rFonts w:hint="default"/>
          <w:color w:val="FF0000"/>
          <w:lang w:val="en-US" w:eastAsia="zh-CN"/>
        </w:rPr>
      </w:pPr>
    </w:p>
    <w:p w14:paraId="467769BD">
      <w:pPr>
        <w:pStyle w:val="2"/>
        <w:rPr>
          <w:rFonts w:hint="eastAsia" w:ascii="华文新魏" w:eastAsia="华文新魏"/>
          <w:color w:val="FF0000"/>
          <w:sz w:val="28"/>
          <w:szCs w:val="28"/>
        </w:rPr>
      </w:pPr>
    </w:p>
    <w:p w14:paraId="5906E9F8">
      <w:pPr>
        <w:rPr>
          <w:rFonts w:hint="eastAsia" w:ascii="华文新魏" w:eastAsia="华文新魏"/>
          <w:color w:val="FF0000"/>
          <w:sz w:val="28"/>
          <w:szCs w:val="28"/>
        </w:rPr>
      </w:pPr>
      <w:bookmarkStart w:id="30" w:name="_GoBack"/>
      <w:bookmarkEnd w:id="30"/>
    </w:p>
    <w:p w14:paraId="33C78BE4">
      <w:pPr>
        <w:pStyle w:val="2"/>
        <w:rPr>
          <w:rFonts w:hint="eastAsia" w:ascii="华文新魏" w:eastAsia="华文新魏"/>
          <w:color w:val="FF0000"/>
          <w:sz w:val="28"/>
          <w:szCs w:val="28"/>
        </w:rPr>
      </w:pPr>
    </w:p>
    <w:p w14:paraId="38502CB1">
      <w:pPr>
        <w:pStyle w:val="25"/>
        <w:ind w:left="0" w:leftChars="0" w:firstLine="0" w:firstLineChars="0"/>
        <w:rPr>
          <w:rFonts w:hint="eastAsia"/>
          <w:color w:val="FF0000"/>
        </w:rPr>
      </w:pPr>
    </w:p>
    <w:p w14:paraId="6C18984C">
      <w:pPr>
        <w:pStyle w:val="25"/>
        <w:jc w:val="center"/>
        <w:rPr>
          <w:rFonts w:hint="default"/>
          <w:color w:val="FF0000"/>
          <w:lang w:val="en-US"/>
        </w:rPr>
      </w:pPr>
      <w:r>
        <w:rPr>
          <w:rFonts w:hint="eastAsia" w:ascii="Times New Roman" w:hAnsi="Times New Roman" w:eastAsia="宋体" w:cs="Times New Roman"/>
          <w:b w:val="0"/>
          <w:bCs/>
          <w:color w:val="000000" w:themeColor="text1"/>
          <w:sz w:val="28"/>
          <w:szCs w:val="28"/>
          <w:lang w:val="en-US" w:eastAsia="zh-CN"/>
          <w14:textFill>
            <w14:solidFill>
              <w14:schemeClr w14:val="tx1"/>
            </w14:solidFill>
          </w14:textFill>
        </w:rPr>
        <w:t>编制</w:t>
      </w:r>
      <w:r>
        <w:rPr>
          <w:rFonts w:hint="eastAsia" w:ascii="Times New Roman" w:hAnsi="Times New Roman" w:cs="Times New Roman"/>
          <w:b w:val="0"/>
          <w:bCs/>
          <w:color w:val="000000" w:themeColor="text1"/>
          <w:sz w:val="28"/>
          <w:szCs w:val="28"/>
          <w:lang w:val="en-US" w:eastAsia="zh-CN"/>
          <w14:textFill>
            <w14:solidFill>
              <w14:schemeClr w14:val="tx1"/>
            </w14:solidFill>
          </w14:textFill>
        </w:rPr>
        <w:t>单位</w:t>
      </w:r>
      <w:r>
        <w:rPr>
          <w:rFonts w:hint="eastAsia" w:ascii="Times New Roman" w:hAnsi="Times New Roman" w:eastAsia="宋体" w:cs="Times New Roman"/>
          <w:b w:val="0"/>
          <w:bCs/>
          <w:color w:val="000000" w:themeColor="text1"/>
          <w:sz w:val="28"/>
          <w:szCs w:val="28"/>
          <w:lang w:val="en-US" w:eastAsia="zh-CN"/>
          <w14:textFill>
            <w14:solidFill>
              <w14:schemeClr w14:val="tx1"/>
            </w14:solidFill>
          </w14:textFill>
        </w:rPr>
        <w:t>：</w:t>
      </w:r>
      <w:r>
        <w:rPr>
          <w:rFonts w:hint="eastAsia" w:ascii="Times New Roman" w:hAnsi="Times New Roman" w:cs="Times New Roman"/>
          <w:b w:val="0"/>
          <w:bCs/>
          <w:color w:val="000000" w:themeColor="text1"/>
          <w:sz w:val="28"/>
          <w:szCs w:val="28"/>
          <w:lang w:val="en-US" w:eastAsia="zh-CN"/>
          <w14:textFill>
            <w14:solidFill>
              <w14:schemeClr w14:val="tx1"/>
            </w14:solidFill>
          </w14:textFill>
        </w:rPr>
        <w:t>黄山市航瑞新材料有限公司</w:t>
      </w:r>
    </w:p>
    <w:p w14:paraId="1C1FE405">
      <w:pPr>
        <w:jc w:val="center"/>
        <w:rPr>
          <w:rFonts w:hint="default" w:ascii="Times New Roman" w:hAnsi="Times New Roman" w:eastAsia="宋体" w:cs="Times New Roman"/>
          <w:b w:val="0"/>
          <w:bCs/>
          <w:color w:val="000000" w:themeColor="text1"/>
          <w:sz w:val="28"/>
          <w:szCs w:val="28"/>
          <w14:textFill>
            <w14:solidFill>
              <w14:schemeClr w14:val="tx1"/>
            </w14:solidFill>
          </w14:textFill>
        </w:rPr>
      </w:pPr>
      <w:r>
        <w:rPr>
          <w:rFonts w:hint="eastAsia" w:ascii="Times New Roman" w:hAnsi="Times New Roman" w:eastAsia="宋体" w:cs="Times New Roman"/>
          <w:b w:val="0"/>
          <w:bCs/>
          <w:color w:val="000000" w:themeColor="text1"/>
          <w:sz w:val="28"/>
          <w:szCs w:val="28"/>
          <w:lang w:val="en-US" w:eastAsia="zh-CN"/>
          <w14:textFill>
            <w14:solidFill>
              <w14:schemeClr w14:val="tx1"/>
            </w14:solidFill>
          </w14:textFill>
        </w:rPr>
        <w:t>编制日期：</w:t>
      </w:r>
      <w:r>
        <w:rPr>
          <w:rFonts w:hint="default" w:ascii="Times New Roman" w:hAnsi="Times New Roman" w:eastAsia="宋体" w:cs="Times New Roman"/>
          <w:b w:val="0"/>
          <w:bCs/>
          <w:color w:val="000000" w:themeColor="text1"/>
          <w:sz w:val="28"/>
          <w:szCs w:val="28"/>
          <w:lang w:val="en-US" w:eastAsia="zh-CN"/>
          <w14:textFill>
            <w14:solidFill>
              <w14:schemeClr w14:val="tx1"/>
            </w14:solidFill>
          </w14:textFill>
        </w:rPr>
        <w:t>202</w:t>
      </w:r>
      <w:r>
        <w:rPr>
          <w:rFonts w:hint="eastAsia" w:ascii="Times New Roman" w:hAnsi="Times New Roman" w:eastAsia="宋体" w:cs="Times New Roman"/>
          <w:b w:val="0"/>
          <w:bCs/>
          <w:color w:val="000000" w:themeColor="text1"/>
          <w:sz w:val="28"/>
          <w:szCs w:val="28"/>
          <w:lang w:val="en-US" w:eastAsia="zh-CN"/>
          <w14:textFill>
            <w14:solidFill>
              <w14:schemeClr w14:val="tx1"/>
            </w14:solidFill>
          </w14:textFill>
        </w:rPr>
        <w:t>6</w:t>
      </w:r>
      <w:r>
        <w:rPr>
          <w:rFonts w:hint="default" w:ascii="Times New Roman" w:hAnsi="Times New Roman" w:eastAsia="宋体" w:cs="Times New Roman"/>
          <w:b w:val="0"/>
          <w:bCs/>
          <w:color w:val="000000" w:themeColor="text1"/>
          <w:sz w:val="28"/>
          <w:szCs w:val="28"/>
          <w14:textFill>
            <w14:solidFill>
              <w14:schemeClr w14:val="tx1"/>
            </w14:solidFill>
          </w14:textFill>
        </w:rPr>
        <w:t>年</w:t>
      </w:r>
      <w:r>
        <w:rPr>
          <w:rFonts w:hint="eastAsia" w:ascii="Times New Roman" w:hAnsi="Times New Roman" w:eastAsia="宋体" w:cs="Times New Roman"/>
          <w:b w:val="0"/>
          <w:bCs/>
          <w:color w:val="000000" w:themeColor="text1"/>
          <w:sz w:val="28"/>
          <w:szCs w:val="28"/>
          <w:lang w:val="en-US" w:eastAsia="zh-CN"/>
          <w14:textFill>
            <w14:solidFill>
              <w14:schemeClr w14:val="tx1"/>
            </w14:solidFill>
          </w14:textFill>
        </w:rPr>
        <w:t>5</w:t>
      </w:r>
      <w:r>
        <w:rPr>
          <w:rFonts w:hint="default" w:ascii="Times New Roman" w:hAnsi="Times New Roman" w:eastAsia="宋体" w:cs="Times New Roman"/>
          <w:b w:val="0"/>
          <w:bCs/>
          <w:color w:val="000000" w:themeColor="text1"/>
          <w:sz w:val="28"/>
          <w:szCs w:val="28"/>
          <w14:textFill>
            <w14:solidFill>
              <w14:schemeClr w14:val="tx1"/>
            </w14:solidFill>
          </w14:textFill>
        </w:rPr>
        <w:t>月</w:t>
      </w:r>
    </w:p>
    <w:p w14:paraId="217898C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eastAsiaTheme="minorEastAsia"/>
          <w:b/>
          <w:color w:val="FF0000"/>
          <w:sz w:val="72"/>
          <w:szCs w:val="72"/>
        </w:rPr>
        <w:sectPr>
          <w:footerReference r:id="rId4" w:type="default"/>
          <w:footerReference r:id="rId5" w:type="even"/>
          <w:pgSz w:w="11907" w:h="16840"/>
          <w:pgMar w:top="1701" w:right="1531" w:bottom="1701" w:left="1531" w:header="284" w:footer="851" w:gutter="0"/>
          <w:pgBorders>
            <w:top w:val="none" w:sz="0" w:space="0"/>
            <w:left w:val="none" w:sz="0" w:space="0"/>
            <w:bottom w:val="none" w:sz="0" w:space="0"/>
            <w:right w:val="none" w:sz="0" w:space="0"/>
          </w:pgBorders>
          <w:pgNumType w:fmt="decimal" w:start="2"/>
          <w:cols w:space="720" w:num="1"/>
          <w:docGrid w:linePitch="299" w:charSpace="0"/>
        </w:sectPr>
      </w:pPr>
    </w:p>
    <w:p w14:paraId="347D821C">
      <w:pPr>
        <w:spacing w:line="360" w:lineRule="auto"/>
        <w:rPr>
          <w:rFonts w:hint="default" w:ascii="Times New Roman" w:hAnsi="Times New Roman" w:eastAsia="宋体" w:cs="Times New Roman"/>
          <w:b/>
          <w:color w:val="auto"/>
          <w:sz w:val="24"/>
          <w:szCs w:val="24"/>
        </w:rPr>
      </w:pPr>
    </w:p>
    <w:p w14:paraId="0A0D8605">
      <w:pPr>
        <w:spacing w:line="360" w:lineRule="auto"/>
        <w:rPr>
          <w:rFonts w:hint="default" w:ascii="Times New Roman" w:hAnsi="Times New Roman" w:eastAsia="宋体" w:cs="Times New Roman"/>
          <w:b/>
          <w:color w:val="auto"/>
          <w:sz w:val="24"/>
          <w:szCs w:val="24"/>
        </w:rPr>
      </w:pPr>
    </w:p>
    <w:p w14:paraId="581524F4">
      <w:pPr>
        <w:spacing w:line="360" w:lineRule="auto"/>
        <w:rPr>
          <w:rFonts w:hint="default" w:ascii="Times New Roman" w:hAnsi="Times New Roman" w:eastAsia="宋体" w:cs="Times New Roman"/>
          <w:b w:val="0"/>
          <w:bCs/>
          <w:color w:val="auto"/>
          <w:sz w:val="24"/>
          <w:szCs w:val="24"/>
        </w:rPr>
      </w:pPr>
      <w:r>
        <w:rPr>
          <w:rFonts w:hint="default" w:ascii="Times New Roman" w:hAnsi="Times New Roman" w:eastAsia="宋体" w:cs="Times New Roman"/>
          <w:b w:val="0"/>
          <w:bCs/>
          <w:color w:val="auto"/>
          <w:sz w:val="24"/>
          <w:szCs w:val="24"/>
        </w:rPr>
        <w:t>建设单位</w:t>
      </w:r>
      <w:r>
        <w:rPr>
          <w:rFonts w:hint="eastAsia" w:ascii="Times New Roman" w:hAnsi="Times New Roman" w:eastAsia="宋体" w:cs="Times New Roman"/>
          <w:b w:val="0"/>
          <w:bCs/>
          <w:color w:val="auto"/>
          <w:sz w:val="24"/>
          <w:szCs w:val="24"/>
          <w:lang w:val="en-US" w:eastAsia="zh-CN"/>
        </w:rPr>
        <w:t>/</w:t>
      </w:r>
      <w:r>
        <w:rPr>
          <w:rFonts w:hint="default" w:ascii="Times New Roman" w:hAnsi="Times New Roman" w:eastAsia="宋体" w:cs="Times New Roman"/>
          <w:b w:val="0"/>
          <w:bCs/>
          <w:color w:val="auto"/>
          <w:sz w:val="24"/>
          <w:szCs w:val="24"/>
        </w:rPr>
        <w:t>编制单位法人代表:</w:t>
      </w:r>
      <w:r>
        <w:rPr>
          <w:rFonts w:hint="default" w:ascii="Times New Roman" w:hAnsi="Times New Roman" w:eastAsia="宋体" w:cs="Times New Roman"/>
          <w:b w:val="0"/>
          <w:bCs/>
          <w:color w:val="auto"/>
          <w:sz w:val="24"/>
          <w:szCs w:val="24"/>
        </w:rPr>
        <w:tab/>
      </w:r>
      <w:r>
        <w:rPr>
          <w:rFonts w:hint="eastAsia" w:ascii="Times New Roman" w:hAnsi="Times New Roman" w:eastAsia="宋体" w:cs="Times New Roman"/>
          <w:b w:val="0"/>
          <w:bCs/>
          <w:color w:val="auto"/>
          <w:sz w:val="24"/>
          <w:szCs w:val="24"/>
          <w:lang w:val="en-US" w:eastAsia="zh-CN"/>
        </w:rPr>
        <w:t xml:space="preserve">         （签字或签章）</w:t>
      </w:r>
    </w:p>
    <w:p w14:paraId="12ABF877">
      <w:pPr>
        <w:spacing w:line="360" w:lineRule="auto"/>
        <w:rPr>
          <w:rFonts w:hint="default" w:ascii="Times New Roman" w:hAnsi="Times New Roman" w:eastAsia="宋体" w:cs="Times New Roman"/>
          <w:b w:val="0"/>
          <w:bCs/>
          <w:color w:val="auto"/>
          <w:spacing w:val="7"/>
          <w:w w:val="79"/>
          <w:sz w:val="24"/>
          <w:szCs w:val="24"/>
          <w:lang w:val="en-US" w:eastAsia="zh-CN"/>
        </w:rPr>
      </w:pPr>
      <w:r>
        <w:rPr>
          <w:rFonts w:hint="default" w:ascii="Times New Roman" w:hAnsi="Times New Roman" w:eastAsia="宋体" w:cs="Times New Roman"/>
          <w:b w:val="0"/>
          <w:bCs/>
          <w:color w:val="auto"/>
          <w:sz w:val="24"/>
          <w:szCs w:val="24"/>
        </w:rPr>
        <w:t>项目负责人:</w:t>
      </w:r>
      <w:r>
        <w:rPr>
          <w:rFonts w:hint="eastAsia" w:ascii="Times New Roman" w:hAnsi="Times New Roman" w:eastAsia="宋体" w:cs="Times New Roman"/>
          <w:b w:val="0"/>
          <w:bCs/>
          <w:color w:val="auto"/>
          <w:sz w:val="24"/>
          <w:szCs w:val="24"/>
          <w:lang w:val="en-US" w:eastAsia="zh-CN"/>
        </w:rPr>
        <w:t xml:space="preserve"> 姚绍栋</w:t>
      </w:r>
    </w:p>
    <w:p w14:paraId="7853A564">
      <w:pPr>
        <w:spacing w:line="360" w:lineRule="auto"/>
        <w:rPr>
          <w:rFonts w:hint="default" w:ascii="Times New Roman" w:hAnsi="Times New Roman" w:eastAsia="宋体" w:cs="Times New Roman"/>
          <w:b w:val="0"/>
          <w:bCs/>
          <w:color w:val="auto"/>
          <w:spacing w:val="7"/>
          <w:w w:val="79"/>
          <w:sz w:val="24"/>
          <w:szCs w:val="24"/>
        </w:rPr>
      </w:pPr>
      <w:r>
        <w:rPr>
          <w:rFonts w:hint="default" w:ascii="Times New Roman" w:hAnsi="Times New Roman" w:eastAsia="宋体" w:cs="Times New Roman"/>
          <w:b w:val="0"/>
          <w:bCs/>
          <w:color w:val="auto"/>
          <w:sz w:val="24"/>
          <w:szCs w:val="24"/>
        </w:rPr>
        <w:t>填表人：</w:t>
      </w:r>
      <w:r>
        <w:rPr>
          <w:rFonts w:hint="eastAsia" w:ascii="Times New Roman" w:hAnsi="Times New Roman" w:eastAsia="宋体" w:cs="Times New Roman"/>
          <w:b w:val="0"/>
          <w:bCs/>
          <w:color w:val="auto"/>
          <w:sz w:val="24"/>
          <w:szCs w:val="24"/>
          <w:lang w:val="en-US" w:eastAsia="zh-CN"/>
        </w:rPr>
        <w:t>姚绍栋</w:t>
      </w:r>
    </w:p>
    <w:p w14:paraId="393F06C7">
      <w:pPr>
        <w:spacing w:line="360" w:lineRule="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ab/>
      </w:r>
    </w:p>
    <w:p w14:paraId="72967E68">
      <w:pPr>
        <w:spacing w:line="360" w:lineRule="auto"/>
        <w:rPr>
          <w:rFonts w:hint="default" w:ascii="Times New Roman" w:hAnsi="Times New Roman" w:eastAsia="宋体" w:cs="Times New Roman"/>
          <w:color w:val="FF0000"/>
          <w:sz w:val="24"/>
          <w:szCs w:val="24"/>
        </w:rPr>
      </w:pPr>
    </w:p>
    <w:p w14:paraId="20088298">
      <w:pPr>
        <w:tabs>
          <w:tab w:val="left" w:pos="984"/>
        </w:tabs>
        <w:spacing w:line="360" w:lineRule="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ab/>
      </w:r>
    </w:p>
    <w:p w14:paraId="31923F30">
      <w:pPr>
        <w:tabs>
          <w:tab w:val="left" w:pos="984"/>
        </w:tabs>
        <w:spacing w:line="360" w:lineRule="auto"/>
        <w:rPr>
          <w:rFonts w:hint="default" w:ascii="Times New Roman" w:hAnsi="Times New Roman" w:eastAsia="宋体" w:cs="Times New Roman"/>
          <w:color w:val="FF0000"/>
          <w:sz w:val="24"/>
          <w:szCs w:val="24"/>
        </w:rPr>
      </w:pPr>
    </w:p>
    <w:p w14:paraId="40114832">
      <w:pPr>
        <w:pStyle w:val="10"/>
        <w:rPr>
          <w:rFonts w:hint="default" w:ascii="Times New Roman" w:hAnsi="Times New Roman" w:eastAsia="宋体" w:cs="Times New Roman"/>
          <w:color w:val="FF0000"/>
          <w:sz w:val="24"/>
          <w:szCs w:val="24"/>
        </w:rPr>
      </w:pPr>
    </w:p>
    <w:p w14:paraId="41BE57DC">
      <w:pPr>
        <w:pStyle w:val="2"/>
        <w:rPr>
          <w:rFonts w:hint="default" w:ascii="Times New Roman" w:hAnsi="Times New Roman" w:eastAsia="宋体" w:cs="Times New Roman"/>
          <w:color w:val="auto"/>
          <w:sz w:val="24"/>
          <w:szCs w:val="24"/>
        </w:rPr>
      </w:pPr>
    </w:p>
    <w:p w14:paraId="4712BC7E">
      <w:pPr>
        <w:rPr>
          <w:rFonts w:hint="default" w:ascii="Times New Roman" w:hAnsi="Times New Roman" w:eastAsia="宋体" w:cs="Times New Roman"/>
          <w:color w:val="auto"/>
          <w:sz w:val="24"/>
          <w:szCs w:val="24"/>
        </w:rPr>
      </w:pPr>
    </w:p>
    <w:p w14:paraId="40E64015">
      <w:pPr>
        <w:pStyle w:val="10"/>
        <w:rPr>
          <w:rFonts w:hint="default"/>
          <w:color w:val="auto"/>
        </w:rPr>
      </w:pPr>
    </w:p>
    <w:p w14:paraId="4CD4DC5A">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建设单位/编制单位：黄山市航瑞新材料有限公司</w:t>
      </w:r>
      <w:r>
        <w:rPr>
          <w:rFonts w:hint="default" w:ascii="Times New Roman" w:hAnsi="Times New Roman" w:eastAsia="宋体" w:cs="Times New Roman"/>
          <w:color w:val="auto"/>
          <w:sz w:val="24"/>
          <w:szCs w:val="24"/>
          <w:lang w:val="en-US" w:eastAsia="zh-CN"/>
        </w:rPr>
        <w:t>（盖章）</w:t>
      </w:r>
    </w:p>
    <w:p w14:paraId="4E6A623D">
      <w:pPr>
        <w:pStyle w:val="10"/>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电话</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13958888578</w:t>
      </w:r>
    </w:p>
    <w:p w14:paraId="41EEC9EB">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邮编</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245</w:t>
      </w:r>
      <w:r>
        <w:rPr>
          <w:rFonts w:hint="eastAsia" w:ascii="Times New Roman" w:hAnsi="Times New Roman" w:eastAsia="宋体" w:cs="Times New Roman"/>
          <w:color w:val="auto"/>
          <w:sz w:val="24"/>
          <w:szCs w:val="24"/>
          <w:lang w:val="en-US" w:eastAsia="zh-CN"/>
        </w:rPr>
        <w:t>200</w:t>
      </w:r>
    </w:p>
    <w:p w14:paraId="59C4DB42">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地址</w:t>
      </w:r>
      <w:r>
        <w:rPr>
          <w:rFonts w:hint="eastAsia" w:ascii="Times New Roman" w:hAnsi="Times New Roman" w:eastAsia="宋体" w:cs="Times New Roman"/>
          <w:color w:val="auto"/>
          <w:sz w:val="24"/>
          <w:szCs w:val="24"/>
          <w:lang w:val="en-US" w:eastAsia="zh-CN"/>
        </w:rPr>
        <w:t>：</w:t>
      </w:r>
      <w:r>
        <w:rPr>
          <w:rFonts w:hint="eastAsia" w:ascii="Times New Roman" w:hAnsi="Times New Roman" w:cs="Times New Roman" w:eastAsiaTheme="minorEastAsia"/>
          <w:color w:val="auto"/>
          <w:sz w:val="24"/>
          <w:szCs w:val="24"/>
          <w:lang w:eastAsia="zh-CN"/>
        </w:rPr>
        <w:t>安徽省黄山市歙县</w:t>
      </w:r>
      <w:r>
        <w:rPr>
          <w:rFonts w:hint="eastAsia" w:ascii="Times New Roman" w:hAnsi="Times New Roman" w:cs="Times New Roman" w:eastAsiaTheme="minorEastAsia"/>
          <w:color w:val="auto"/>
          <w:sz w:val="24"/>
          <w:szCs w:val="24"/>
          <w:lang w:val="en-US" w:eastAsia="zh-CN"/>
        </w:rPr>
        <w:t>化工园区</w:t>
      </w:r>
    </w:p>
    <w:p w14:paraId="5B924532">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default" w:ascii="Times New Roman" w:hAnsi="Times New Roman" w:eastAsia="宋体" w:cs="Times New Roman"/>
          <w:color w:val="auto"/>
          <w:sz w:val="24"/>
          <w:szCs w:val="24"/>
        </w:rPr>
      </w:pPr>
    </w:p>
    <w:p w14:paraId="76A51AD2">
      <w:pPr>
        <w:keepNext w:val="0"/>
        <w:keepLines w:val="0"/>
        <w:pageBreakBefore w:val="0"/>
        <w:widowControl/>
        <w:kinsoku/>
        <w:wordWrap/>
        <w:overflowPunct/>
        <w:topLinePunct w:val="0"/>
        <w:autoSpaceDE/>
        <w:autoSpaceDN/>
        <w:bidi w:val="0"/>
        <w:adjustRightInd w:val="0"/>
        <w:snapToGrid w:val="0"/>
        <w:spacing w:after="0" w:line="360" w:lineRule="auto"/>
        <w:ind w:right="0"/>
        <w:textAlignment w:val="auto"/>
        <w:rPr>
          <w:rFonts w:hint="default" w:ascii="Times New Roman" w:hAnsi="Times New Roman" w:eastAsia="宋体" w:cs="Times New Roman"/>
          <w:color w:val="FF0000"/>
          <w:sz w:val="24"/>
          <w:szCs w:val="24"/>
        </w:rPr>
        <w:sectPr>
          <w:footerReference r:id="rId6" w:type="default"/>
          <w:pgSz w:w="11906" w:h="16838"/>
          <w:pgMar w:top="1701" w:right="1531" w:bottom="1701" w:left="1531" w:header="708" w:footer="708" w:gutter="0"/>
          <w:pgBorders>
            <w:top w:val="none" w:sz="0" w:space="0"/>
            <w:left w:val="none" w:sz="0" w:space="0"/>
            <w:bottom w:val="none" w:sz="0" w:space="0"/>
            <w:right w:val="none" w:sz="0" w:space="0"/>
          </w:pgBorders>
          <w:pgNumType w:fmt="decimal" w:start="1"/>
          <w:cols w:space="720" w:num="1"/>
          <w:docGrid w:linePitch="360" w:charSpace="0"/>
        </w:sectPr>
      </w:pPr>
    </w:p>
    <w:sdt>
      <w:sdtPr>
        <w:rPr>
          <w:rFonts w:hint="default" w:ascii="Times New Roman" w:hAnsi="Times New Roman" w:eastAsia="宋体" w:cs="Times New Roman"/>
          <w:color w:val="FF0000"/>
          <w:sz w:val="36"/>
          <w:szCs w:val="36"/>
          <w:lang w:val="en-US" w:eastAsia="zh-CN" w:bidi="ar-SA"/>
        </w:rPr>
        <w:id w:val="147480695"/>
        <w15:color w:val="DBDBDB"/>
        <w:docPartObj>
          <w:docPartGallery w:val="Table of Contents"/>
          <w:docPartUnique/>
        </w:docPartObj>
      </w:sdtPr>
      <w:sdtEndPr>
        <w:rPr>
          <w:rFonts w:hint="default" w:ascii="仿宋" w:hAnsi="仿宋" w:eastAsia="仿宋" w:cstheme="minorBidi"/>
          <w:color w:val="FF0000"/>
          <w:sz w:val="22"/>
          <w:szCs w:val="28"/>
          <w:lang w:val="en-US" w:eastAsia="zh-CN" w:bidi="ar-SA"/>
        </w:rPr>
      </w:sdtEndPr>
      <w:sdtContent>
        <w:p w14:paraId="275CCE76">
          <w:pPr>
            <w:spacing w:before="0" w:beforeLines="0" w:after="0" w:afterLines="0" w:line="360" w:lineRule="auto"/>
            <w:ind w:left="0" w:leftChars="0" w:right="0" w:rightChars="0" w:firstLine="0" w:firstLineChars="0"/>
            <w:jc w:val="center"/>
            <w:rPr>
              <w:rFonts w:hint="default" w:ascii="Times New Roman" w:hAnsi="Times New Roman" w:eastAsia="宋体" w:cs="Times New Roman"/>
              <w:color w:val="FF0000"/>
              <w:sz w:val="36"/>
              <w:szCs w:val="36"/>
            </w:rPr>
          </w:pPr>
          <w:r>
            <w:rPr>
              <w:rFonts w:hint="default" w:ascii="Times New Roman" w:hAnsi="Times New Roman" w:eastAsia="宋体" w:cs="Times New Roman"/>
              <w:color w:val="auto"/>
              <w:sz w:val="36"/>
              <w:szCs w:val="36"/>
            </w:rPr>
            <w:t>目</w:t>
          </w:r>
          <w:r>
            <w:rPr>
              <w:rFonts w:hint="default" w:ascii="Times New Roman" w:hAnsi="Times New Roman" w:eastAsia="宋体" w:cs="Times New Roman"/>
              <w:color w:val="auto"/>
              <w:sz w:val="36"/>
              <w:szCs w:val="36"/>
              <w:lang w:val="en-US" w:eastAsia="zh-CN"/>
            </w:rPr>
            <w:t xml:space="preserve"> </w:t>
          </w:r>
          <w:r>
            <w:rPr>
              <w:rFonts w:hint="default" w:ascii="Times New Roman" w:hAnsi="Times New Roman" w:eastAsia="宋体" w:cs="Times New Roman"/>
              <w:color w:val="auto"/>
              <w:sz w:val="36"/>
              <w:szCs w:val="36"/>
            </w:rPr>
            <w:t>录</w:t>
          </w:r>
        </w:p>
        <w:p w14:paraId="090E5E5E">
          <w:pPr>
            <w:pStyle w:val="16"/>
            <w:tabs>
              <w:tab w:val="right" w:leader="dot" w:pos="8306"/>
            </w:tabs>
            <w:rPr>
              <w:rFonts w:hint="default" w:ascii="Times New Roman" w:hAnsi="Times New Roman" w:eastAsia="宋体" w:cs="Times New Roman"/>
              <w:sz w:val="24"/>
              <w:szCs w:val="24"/>
            </w:rPr>
          </w:pPr>
          <w:r>
            <w:rPr>
              <w:rFonts w:hint="default" w:ascii="Times New Roman" w:hAnsi="Times New Roman" w:eastAsia="宋体" w:cs="Times New Roman"/>
              <w:color w:val="FF0000"/>
              <w:sz w:val="24"/>
              <w:szCs w:val="24"/>
            </w:rPr>
            <w:fldChar w:fldCharType="begin"/>
          </w:r>
          <w:r>
            <w:rPr>
              <w:rFonts w:hint="default" w:ascii="Times New Roman" w:hAnsi="Times New Roman" w:eastAsia="宋体" w:cs="Times New Roman"/>
              <w:color w:val="FF0000"/>
              <w:sz w:val="24"/>
              <w:szCs w:val="24"/>
            </w:rPr>
            <w:instrText xml:space="preserve">TOC \o "1-1" \h \u </w:instrText>
          </w:r>
          <w:r>
            <w:rPr>
              <w:rFonts w:hint="default" w:ascii="Times New Roman" w:hAnsi="Times New Roman" w:eastAsia="宋体" w:cs="Times New Roman"/>
              <w:color w:val="FF0000"/>
              <w:sz w:val="24"/>
              <w:szCs w:val="24"/>
            </w:rPr>
            <w:fldChar w:fldCharType="separate"/>
          </w:r>
          <w:r>
            <w:rPr>
              <w:rFonts w:hint="default" w:ascii="Times New Roman" w:hAnsi="Times New Roman" w:eastAsia="宋体" w:cs="Times New Roman"/>
              <w:color w:val="FF0000"/>
              <w:sz w:val="24"/>
              <w:szCs w:val="24"/>
            </w:rPr>
            <w:fldChar w:fldCharType="begin"/>
          </w:r>
          <w:r>
            <w:rPr>
              <w:rFonts w:hint="default" w:ascii="Times New Roman" w:hAnsi="Times New Roman" w:eastAsia="宋体" w:cs="Times New Roman"/>
              <w:sz w:val="24"/>
              <w:szCs w:val="24"/>
            </w:rPr>
            <w:instrText xml:space="preserve"> HYPERLINK \l _Toc151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表一</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项目概况、验收监测依据及标准</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_Toc151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FF0000"/>
              <w:sz w:val="24"/>
              <w:szCs w:val="24"/>
            </w:rPr>
            <w:fldChar w:fldCharType="end"/>
          </w:r>
        </w:p>
        <w:p w14:paraId="6142389F">
          <w:pPr>
            <w:pStyle w:val="16"/>
            <w:tabs>
              <w:tab w:val="right" w:leader="dot" w:pos="8306"/>
            </w:tabs>
            <w:rPr>
              <w:rFonts w:hint="default" w:ascii="Times New Roman" w:hAnsi="Times New Roman" w:eastAsia="宋体" w:cs="Times New Roman"/>
              <w:sz w:val="24"/>
              <w:szCs w:val="24"/>
            </w:rPr>
          </w:pPr>
          <w:r>
            <w:rPr>
              <w:rFonts w:hint="default" w:ascii="Times New Roman" w:hAnsi="Times New Roman" w:eastAsia="宋体" w:cs="Times New Roman"/>
              <w:color w:val="FF0000"/>
              <w:sz w:val="24"/>
              <w:szCs w:val="24"/>
            </w:rPr>
            <w:fldChar w:fldCharType="begin"/>
          </w:r>
          <w:r>
            <w:rPr>
              <w:rFonts w:hint="default" w:ascii="Times New Roman" w:hAnsi="Times New Roman" w:eastAsia="宋体" w:cs="Times New Roman"/>
              <w:sz w:val="24"/>
              <w:szCs w:val="24"/>
            </w:rPr>
            <w:instrText xml:space="preserve"> HYPERLINK \l _Toc23570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表二</w:t>
          </w:r>
          <w:r>
            <w:rPr>
              <w:rFonts w:hint="default" w:ascii="Times New Roman" w:hAnsi="Times New Roman" w:eastAsia="宋体" w:cs="Times New Roman"/>
              <w:sz w:val="24"/>
              <w:szCs w:val="24"/>
              <w:lang w:val="en-US" w:eastAsia="zh-CN"/>
            </w:rPr>
            <w:t xml:space="preserve">  工程建设内容、原辅料消耗及水平衡、主要生产工艺及产污染环节</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_Toc23570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FF0000"/>
              <w:sz w:val="24"/>
              <w:szCs w:val="24"/>
            </w:rPr>
            <w:fldChar w:fldCharType="end"/>
          </w:r>
        </w:p>
        <w:p w14:paraId="12E6018D">
          <w:pPr>
            <w:pStyle w:val="16"/>
            <w:tabs>
              <w:tab w:val="right" w:leader="dot" w:pos="8306"/>
            </w:tabs>
            <w:rPr>
              <w:rFonts w:hint="default" w:ascii="Times New Roman" w:hAnsi="Times New Roman" w:eastAsia="宋体" w:cs="Times New Roman"/>
              <w:sz w:val="24"/>
              <w:szCs w:val="24"/>
            </w:rPr>
          </w:pPr>
          <w:r>
            <w:rPr>
              <w:rFonts w:hint="default" w:ascii="Times New Roman" w:hAnsi="Times New Roman" w:eastAsia="宋体" w:cs="Times New Roman"/>
              <w:color w:val="FF0000"/>
              <w:sz w:val="24"/>
              <w:szCs w:val="24"/>
            </w:rPr>
            <w:fldChar w:fldCharType="begin"/>
          </w:r>
          <w:r>
            <w:rPr>
              <w:rFonts w:hint="default" w:ascii="Times New Roman" w:hAnsi="Times New Roman" w:eastAsia="宋体" w:cs="Times New Roman"/>
              <w:sz w:val="24"/>
              <w:szCs w:val="24"/>
            </w:rPr>
            <w:instrText xml:space="preserve"> HYPERLINK \l _Toc24070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表三</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主要污染源、污染物处理和排放</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_Toc24070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15</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FF0000"/>
              <w:sz w:val="24"/>
              <w:szCs w:val="24"/>
            </w:rPr>
            <w:fldChar w:fldCharType="end"/>
          </w:r>
        </w:p>
        <w:p w14:paraId="219DB941">
          <w:pPr>
            <w:pStyle w:val="16"/>
            <w:tabs>
              <w:tab w:val="right" w:leader="dot" w:pos="8306"/>
            </w:tabs>
            <w:rPr>
              <w:rFonts w:hint="default" w:ascii="Times New Roman" w:hAnsi="Times New Roman" w:eastAsia="宋体" w:cs="Times New Roman"/>
              <w:sz w:val="24"/>
              <w:szCs w:val="24"/>
            </w:rPr>
          </w:pPr>
          <w:r>
            <w:rPr>
              <w:rFonts w:hint="default" w:ascii="Times New Roman" w:hAnsi="Times New Roman" w:eastAsia="宋体" w:cs="Times New Roman"/>
              <w:color w:val="FF0000"/>
              <w:sz w:val="24"/>
              <w:szCs w:val="24"/>
            </w:rPr>
            <w:fldChar w:fldCharType="begin"/>
          </w:r>
          <w:r>
            <w:rPr>
              <w:rFonts w:hint="default" w:ascii="Times New Roman" w:hAnsi="Times New Roman" w:eastAsia="宋体" w:cs="Times New Roman"/>
              <w:sz w:val="24"/>
              <w:szCs w:val="24"/>
            </w:rPr>
            <w:instrText xml:space="preserve"> HYPERLINK \l _Toc21039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表四</w:t>
          </w:r>
          <w:r>
            <w:rPr>
              <w:rFonts w:hint="default" w:ascii="Times New Roman" w:hAnsi="Times New Roman" w:eastAsia="宋体" w:cs="Times New Roman"/>
              <w:sz w:val="24"/>
              <w:szCs w:val="24"/>
              <w:lang w:val="en-US" w:eastAsia="zh-CN"/>
            </w:rPr>
            <w:t xml:space="preserve">  建设项目环境影响报告表主要结论及审批部门审批决定</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_Toc21039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FF0000"/>
              <w:sz w:val="24"/>
              <w:szCs w:val="24"/>
            </w:rPr>
            <w:fldChar w:fldCharType="end"/>
          </w:r>
        </w:p>
        <w:p w14:paraId="0E067A87">
          <w:pPr>
            <w:pStyle w:val="16"/>
            <w:tabs>
              <w:tab w:val="right" w:leader="dot" w:pos="8306"/>
            </w:tabs>
            <w:rPr>
              <w:rFonts w:hint="default" w:ascii="Times New Roman" w:hAnsi="Times New Roman" w:eastAsia="宋体" w:cs="Times New Roman"/>
              <w:sz w:val="24"/>
              <w:szCs w:val="24"/>
            </w:rPr>
          </w:pPr>
          <w:r>
            <w:rPr>
              <w:rFonts w:hint="default" w:ascii="Times New Roman" w:hAnsi="Times New Roman" w:eastAsia="宋体" w:cs="Times New Roman"/>
              <w:color w:val="FF0000"/>
              <w:sz w:val="24"/>
              <w:szCs w:val="24"/>
            </w:rPr>
            <w:fldChar w:fldCharType="begin"/>
          </w:r>
          <w:r>
            <w:rPr>
              <w:rFonts w:hint="default" w:ascii="Times New Roman" w:hAnsi="Times New Roman" w:eastAsia="宋体" w:cs="Times New Roman"/>
              <w:sz w:val="24"/>
              <w:szCs w:val="24"/>
            </w:rPr>
            <w:instrText xml:space="preserve"> HYPERLINK \l _Toc8728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表五</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验收监测质量保证及质量控制</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_Toc8728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FF0000"/>
              <w:sz w:val="24"/>
              <w:szCs w:val="24"/>
            </w:rPr>
            <w:fldChar w:fldCharType="end"/>
          </w:r>
        </w:p>
        <w:p w14:paraId="47BB5AD2">
          <w:pPr>
            <w:pStyle w:val="16"/>
            <w:tabs>
              <w:tab w:val="right" w:leader="dot" w:pos="8306"/>
            </w:tabs>
            <w:rPr>
              <w:rFonts w:hint="default" w:ascii="Times New Roman" w:hAnsi="Times New Roman" w:eastAsia="宋体" w:cs="Times New Roman"/>
              <w:sz w:val="24"/>
              <w:szCs w:val="24"/>
            </w:rPr>
          </w:pPr>
          <w:r>
            <w:rPr>
              <w:rFonts w:hint="default" w:ascii="Times New Roman" w:hAnsi="Times New Roman" w:eastAsia="宋体" w:cs="Times New Roman"/>
              <w:color w:val="FF0000"/>
              <w:sz w:val="24"/>
              <w:szCs w:val="24"/>
            </w:rPr>
            <w:fldChar w:fldCharType="begin"/>
          </w:r>
          <w:r>
            <w:rPr>
              <w:rFonts w:hint="default" w:ascii="Times New Roman" w:hAnsi="Times New Roman" w:eastAsia="宋体" w:cs="Times New Roman"/>
              <w:sz w:val="24"/>
              <w:szCs w:val="24"/>
            </w:rPr>
            <w:instrText xml:space="preserve"> HYPERLINK \l _Toc7647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表六</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验收监测内容</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_Toc7647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FF0000"/>
              <w:sz w:val="24"/>
              <w:szCs w:val="24"/>
            </w:rPr>
            <w:fldChar w:fldCharType="end"/>
          </w:r>
        </w:p>
        <w:p w14:paraId="2FCB3355">
          <w:pPr>
            <w:pStyle w:val="16"/>
            <w:tabs>
              <w:tab w:val="right" w:leader="dot" w:pos="8306"/>
            </w:tabs>
            <w:rPr>
              <w:rFonts w:hint="default" w:ascii="Times New Roman" w:hAnsi="Times New Roman" w:eastAsia="宋体" w:cs="Times New Roman"/>
              <w:sz w:val="24"/>
              <w:szCs w:val="24"/>
            </w:rPr>
          </w:pPr>
          <w:r>
            <w:rPr>
              <w:rFonts w:hint="default" w:ascii="Times New Roman" w:hAnsi="Times New Roman" w:eastAsia="宋体" w:cs="Times New Roman"/>
              <w:color w:val="FF0000"/>
              <w:sz w:val="24"/>
              <w:szCs w:val="24"/>
            </w:rPr>
            <w:fldChar w:fldCharType="begin"/>
          </w:r>
          <w:r>
            <w:rPr>
              <w:rFonts w:hint="default" w:ascii="Times New Roman" w:hAnsi="Times New Roman" w:eastAsia="宋体" w:cs="Times New Roman"/>
              <w:sz w:val="24"/>
              <w:szCs w:val="24"/>
            </w:rPr>
            <w:instrText xml:space="preserve"> HYPERLINK \l _Toc22001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表七</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验收监测结果及工况记录</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_Toc22001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25</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FF0000"/>
              <w:sz w:val="24"/>
              <w:szCs w:val="24"/>
            </w:rPr>
            <w:fldChar w:fldCharType="end"/>
          </w:r>
        </w:p>
        <w:p w14:paraId="7754EEA8">
          <w:pPr>
            <w:pStyle w:val="16"/>
            <w:tabs>
              <w:tab w:val="right" w:leader="dot" w:pos="8306"/>
            </w:tabs>
          </w:pPr>
          <w:r>
            <w:rPr>
              <w:rFonts w:hint="default" w:ascii="Times New Roman" w:hAnsi="Times New Roman" w:eastAsia="宋体" w:cs="Times New Roman"/>
              <w:color w:val="FF0000"/>
              <w:sz w:val="24"/>
              <w:szCs w:val="24"/>
            </w:rPr>
            <w:fldChar w:fldCharType="begin"/>
          </w:r>
          <w:r>
            <w:rPr>
              <w:rFonts w:hint="default" w:ascii="Times New Roman" w:hAnsi="Times New Roman" w:eastAsia="宋体" w:cs="Times New Roman"/>
              <w:sz w:val="24"/>
              <w:szCs w:val="24"/>
            </w:rPr>
            <w:instrText xml:space="preserve"> HYPERLINK \l _Toc8628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表</w:t>
          </w:r>
          <w:r>
            <w:rPr>
              <w:rFonts w:hint="default" w:ascii="Times New Roman" w:hAnsi="Times New Roman" w:eastAsia="宋体" w:cs="Times New Roman"/>
              <w:sz w:val="24"/>
              <w:szCs w:val="24"/>
              <w:lang w:val="en-US" w:eastAsia="zh-CN"/>
            </w:rPr>
            <w:t xml:space="preserve">八  </w:t>
          </w:r>
          <w:r>
            <w:rPr>
              <w:rFonts w:hint="default" w:ascii="Times New Roman" w:hAnsi="Times New Roman" w:eastAsia="宋体" w:cs="Times New Roman"/>
              <w:sz w:val="24"/>
              <w:szCs w:val="24"/>
            </w:rPr>
            <w:t>验收监测</w:t>
          </w:r>
          <w:r>
            <w:rPr>
              <w:rFonts w:hint="default" w:ascii="Times New Roman" w:hAnsi="Times New Roman" w:eastAsia="宋体" w:cs="Times New Roman"/>
              <w:sz w:val="24"/>
              <w:szCs w:val="24"/>
              <w:lang w:val="en-US" w:eastAsia="zh-CN"/>
            </w:rPr>
            <w:t>结论</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_Toc8628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29</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color w:val="FF0000"/>
              <w:sz w:val="24"/>
              <w:szCs w:val="24"/>
            </w:rPr>
            <w:fldChar w:fldCharType="end"/>
          </w:r>
        </w:p>
        <w:p w14:paraId="79597D13">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9"/>
            <w:rPr>
              <w:rFonts w:hint="default" w:ascii="仿宋" w:hAnsi="仿宋" w:eastAsia="仿宋" w:cstheme="minorBidi"/>
              <w:color w:val="FF0000"/>
              <w:sz w:val="22"/>
              <w:szCs w:val="28"/>
              <w:lang w:val="en-US" w:eastAsia="zh-CN" w:bidi="ar-SA"/>
            </w:rPr>
          </w:pPr>
          <w:r>
            <w:rPr>
              <w:rFonts w:hint="default" w:ascii="Times New Roman" w:hAnsi="Times New Roman" w:eastAsia="宋体" w:cs="Times New Roman"/>
              <w:color w:val="FF0000"/>
              <w:szCs w:val="24"/>
            </w:rPr>
            <w:fldChar w:fldCharType="end"/>
          </w:r>
        </w:p>
      </w:sdtContent>
    </w:sdt>
    <w:p w14:paraId="66962B6E">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default" w:ascii="Times New Roman" w:hAnsi="Times New Roman" w:eastAsia="宋体" w:cs="Times New Roman"/>
          <w:b/>
          <w:color w:val="FF0000"/>
          <w:sz w:val="24"/>
          <w:szCs w:val="24"/>
        </w:rPr>
        <w:sectPr>
          <w:footerReference r:id="rId7" w:type="default"/>
          <w:pgSz w:w="11906" w:h="16838"/>
          <w:pgMar w:top="1701" w:right="1531" w:bottom="1701" w:left="1531" w:header="708" w:footer="708" w:gutter="0"/>
          <w:pgBorders>
            <w:top w:val="none" w:sz="0" w:space="0"/>
            <w:left w:val="none" w:sz="0" w:space="0"/>
            <w:bottom w:val="none" w:sz="0" w:space="0"/>
            <w:right w:val="none" w:sz="0" w:space="0"/>
          </w:pgBorders>
          <w:pgNumType w:fmt="decimal"/>
          <w:cols w:space="720" w:num="1"/>
          <w:docGrid w:linePitch="360" w:charSpace="0"/>
        </w:sectPr>
      </w:pPr>
    </w:p>
    <w:p w14:paraId="0974BE55">
      <w:pPr>
        <w:bidi w:val="0"/>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t>附图</w:t>
      </w:r>
      <w:r>
        <w:rPr>
          <w:rFonts w:hint="eastAsia" w:ascii="Times New Roman" w:hAnsi="Times New Roman" w:eastAsia="宋体" w:cs="Times New Roman"/>
          <w:b w:val="0"/>
          <w:bCs w:val="0"/>
          <w:color w:val="000000" w:themeColor="text1"/>
          <w:sz w:val="24"/>
          <w:szCs w:val="24"/>
          <w:lang w:eastAsia="zh-CN"/>
          <w14:textFill>
            <w14:solidFill>
              <w14:schemeClr w14:val="tx1"/>
            </w14:solidFill>
          </w14:textFill>
        </w:rPr>
        <w:t>：</w:t>
      </w:r>
    </w:p>
    <w:p w14:paraId="2179B22B">
      <w:pPr>
        <w:bidi w:val="0"/>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b w:val="0"/>
          <w:bCs w:val="0"/>
          <w:color w:val="000000" w:themeColor="text1"/>
          <w:sz w:val="24"/>
          <w:szCs w:val="24"/>
          <w14:textFill>
            <w14:solidFill>
              <w14:schemeClr w14:val="tx1"/>
            </w14:solidFill>
          </w14:textFill>
        </w:rPr>
        <w:t>附图 1</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14:textFill>
            <w14:solidFill>
              <w14:schemeClr w14:val="tx1"/>
            </w14:solidFill>
          </w14:textFill>
        </w:rPr>
        <w:t>项目地理位置图</w:t>
      </w:r>
    </w:p>
    <w:p w14:paraId="6A0BB08E">
      <w:pPr>
        <w:bidi w:val="0"/>
        <w:rPr>
          <w:rFonts w:hint="default" w:ascii="Times New Roman" w:hAnsi="Times New Roman" w:eastAsia="宋体" w:cs="Times New Roman"/>
          <w:b w:val="0"/>
          <w:bCs w:val="0"/>
          <w:color w:val="000000" w:themeColor="text1"/>
          <w:sz w:val="24"/>
          <w:szCs w:val="24"/>
          <w14:textFill>
            <w14:solidFill>
              <w14:schemeClr w14:val="tx1"/>
            </w14:solidFill>
          </w14:textFill>
        </w:rPr>
      </w:pPr>
      <w:bookmarkStart w:id="0" w:name="_Toc12244"/>
      <w:r>
        <w:rPr>
          <w:rFonts w:hint="default" w:ascii="Times New Roman" w:hAnsi="Times New Roman" w:eastAsia="宋体" w:cs="Times New Roman"/>
          <w:b w:val="0"/>
          <w:bCs w:val="0"/>
          <w:color w:val="000000" w:themeColor="text1"/>
          <w:sz w:val="24"/>
          <w:szCs w:val="24"/>
          <w14:textFill>
            <w14:solidFill>
              <w14:schemeClr w14:val="tx1"/>
            </w14:solidFill>
          </w14:textFill>
        </w:rPr>
        <w:t>附图 2</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14:textFill>
            <w14:solidFill>
              <w14:schemeClr w14:val="tx1"/>
            </w14:solidFill>
          </w14:textFill>
        </w:rPr>
        <w:t>项目周边</w:t>
      </w:r>
      <w:r>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t>概况</w:t>
      </w:r>
      <w:r>
        <w:rPr>
          <w:rFonts w:hint="default" w:ascii="Times New Roman" w:hAnsi="Times New Roman" w:eastAsia="宋体" w:cs="Times New Roman"/>
          <w:b w:val="0"/>
          <w:bCs w:val="0"/>
          <w:color w:val="000000" w:themeColor="text1"/>
          <w:sz w:val="24"/>
          <w:szCs w:val="24"/>
          <w14:textFill>
            <w14:solidFill>
              <w14:schemeClr w14:val="tx1"/>
            </w14:solidFill>
          </w14:textFill>
        </w:rPr>
        <w:t>图</w:t>
      </w:r>
      <w:bookmarkEnd w:id="0"/>
    </w:p>
    <w:p w14:paraId="3DDD9315">
      <w:pPr>
        <w:bidi w:val="0"/>
        <w:rPr>
          <w:rFonts w:hint="eastAsia" w:ascii="Times New Roman" w:hAnsi="Times New Roman" w:eastAsia="宋体" w:cs="Times New Roman"/>
          <w:b w:val="0"/>
          <w:bCs w:val="0"/>
          <w:color w:val="000000" w:themeColor="text1"/>
          <w:sz w:val="24"/>
          <w:szCs w:val="24"/>
          <w:lang w:eastAsia="zh-CN"/>
          <w14:textFill>
            <w14:solidFill>
              <w14:schemeClr w14:val="tx1"/>
            </w14:solidFill>
          </w14:textFill>
        </w:rPr>
      </w:pPr>
      <w:bookmarkStart w:id="1" w:name="_Toc15617"/>
      <w:r>
        <w:rPr>
          <w:rFonts w:hint="default" w:ascii="Times New Roman" w:hAnsi="Times New Roman" w:eastAsia="宋体" w:cs="Times New Roman"/>
          <w:b w:val="0"/>
          <w:bCs w:val="0"/>
          <w:color w:val="000000" w:themeColor="text1"/>
          <w:sz w:val="24"/>
          <w:szCs w:val="24"/>
          <w14:textFill>
            <w14:solidFill>
              <w14:schemeClr w14:val="tx1"/>
            </w14:solidFill>
          </w14:textFill>
        </w:rPr>
        <w:t>附图 3</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14:textFill>
            <w14:solidFill>
              <w14:schemeClr w14:val="tx1"/>
            </w14:solidFill>
          </w14:textFill>
        </w:rPr>
        <w:t>项目平面布置图</w:t>
      </w:r>
      <w:bookmarkEnd w:id="1"/>
    </w:p>
    <w:p w14:paraId="3EEB0BAE">
      <w:pPr>
        <w:bidi w:val="0"/>
        <w:rPr>
          <w:rFonts w:hint="default" w:ascii="Times New Roman" w:hAnsi="Times New Roman" w:eastAsia="宋体" w:cs="Times New Roman"/>
          <w:b w:val="0"/>
          <w:bCs w:val="0"/>
          <w:color w:val="auto"/>
          <w:sz w:val="24"/>
          <w:szCs w:val="24"/>
          <w:lang w:val="en-US" w:eastAsia="zh-CN"/>
        </w:rPr>
      </w:pPr>
      <w:bookmarkStart w:id="2" w:name="_Toc8530"/>
      <w:r>
        <w:rPr>
          <w:rFonts w:hint="default" w:ascii="Times New Roman" w:hAnsi="Times New Roman" w:eastAsia="宋体" w:cs="Times New Roman"/>
          <w:b w:val="0"/>
          <w:bCs w:val="0"/>
          <w:color w:val="auto"/>
          <w:sz w:val="24"/>
          <w:szCs w:val="24"/>
          <w:lang w:eastAsia="zh-CN"/>
        </w:rPr>
        <w:t>附图</w:t>
      </w:r>
      <w:r>
        <w:rPr>
          <w:rFonts w:hint="default" w:ascii="Times New Roman" w:hAnsi="Times New Roman" w:eastAsia="宋体" w:cs="Times New Roman"/>
          <w:b w:val="0"/>
          <w:bCs w:val="0"/>
          <w:color w:val="auto"/>
          <w:sz w:val="24"/>
          <w:szCs w:val="24"/>
          <w:lang w:val="en-US" w:eastAsia="zh-CN"/>
        </w:rPr>
        <w:t xml:space="preserve"> </w:t>
      </w:r>
      <w:r>
        <w:rPr>
          <w:rFonts w:hint="eastAsia" w:ascii="Times New Roman" w:hAnsi="Times New Roman" w:eastAsia="宋体" w:cs="Times New Roman"/>
          <w:b w:val="0"/>
          <w:bCs w:val="0"/>
          <w:color w:val="auto"/>
          <w:sz w:val="24"/>
          <w:szCs w:val="24"/>
          <w:lang w:val="en-US" w:eastAsia="zh-CN"/>
        </w:rPr>
        <w:t xml:space="preserve">4 </w:t>
      </w:r>
      <w:r>
        <w:rPr>
          <w:rFonts w:hint="default" w:ascii="Times New Roman" w:hAnsi="Times New Roman" w:eastAsia="宋体" w:cs="Times New Roman"/>
          <w:b w:val="0"/>
          <w:bCs w:val="0"/>
          <w:color w:val="auto"/>
          <w:sz w:val="24"/>
          <w:szCs w:val="24"/>
          <w:lang w:val="en-US" w:eastAsia="zh-CN"/>
        </w:rPr>
        <w:t>项目建设现状图</w:t>
      </w:r>
      <w:bookmarkEnd w:id="2"/>
    </w:p>
    <w:p w14:paraId="3B97DEA4">
      <w:pPr>
        <w:pStyle w:val="11"/>
        <w:rPr>
          <w:rFonts w:hint="default" w:ascii="Times New Roman" w:hAnsi="Times New Roman" w:eastAsia="宋体" w:cs="Times New Roman"/>
          <w:b w:val="0"/>
          <w:bCs w:val="0"/>
          <w:color w:val="FF0000"/>
          <w:sz w:val="24"/>
          <w:szCs w:val="24"/>
          <w:lang w:eastAsia="zh-CN"/>
        </w:rPr>
      </w:pPr>
    </w:p>
    <w:p w14:paraId="00FE39CB">
      <w:pPr>
        <w:pStyle w:val="11"/>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t>附件</w:t>
      </w:r>
      <w:r>
        <w:rPr>
          <w:rFonts w:hint="eastAsia" w:ascii="Times New Roman" w:hAnsi="Times New Roman" w:eastAsia="宋体" w:cs="Times New Roman"/>
          <w:b w:val="0"/>
          <w:bCs w:val="0"/>
          <w:color w:val="000000" w:themeColor="text1"/>
          <w:sz w:val="24"/>
          <w:szCs w:val="24"/>
          <w:lang w:eastAsia="zh-CN"/>
          <w14:textFill>
            <w14:solidFill>
              <w14:schemeClr w14:val="tx1"/>
            </w14:solidFill>
          </w14:textFill>
        </w:rPr>
        <w:t>：</w:t>
      </w:r>
    </w:p>
    <w:p w14:paraId="6393F876">
      <w:pPr>
        <w:bidi w:val="0"/>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pPr>
      <w:bookmarkStart w:id="3" w:name="_Toc11179"/>
      <w:r>
        <w:rPr>
          <w:rFonts w:hint="default" w:ascii="Times New Roman" w:hAnsi="Times New Roman" w:eastAsia="宋体" w:cs="Times New Roman"/>
          <w:b w:val="0"/>
          <w:bCs w:val="0"/>
          <w:color w:val="000000" w:themeColor="text1"/>
          <w:sz w:val="24"/>
          <w:szCs w:val="24"/>
          <w14:textFill>
            <w14:solidFill>
              <w14:schemeClr w14:val="tx1"/>
            </w14:solidFill>
          </w14:textFill>
        </w:rPr>
        <w:t>附件1</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t>委托书</w:t>
      </w:r>
      <w:bookmarkEnd w:id="3"/>
    </w:p>
    <w:p w14:paraId="4EBFBC8A">
      <w:pPr>
        <w:bidi w:val="0"/>
        <w:rPr>
          <w:rFonts w:hint="default" w:ascii="Times New Roman" w:hAnsi="Times New Roman" w:eastAsia="宋体" w:cs="Times New Roman"/>
          <w:b w:val="0"/>
          <w:bCs w:val="0"/>
          <w:color w:val="000000" w:themeColor="text1"/>
          <w:sz w:val="24"/>
          <w:szCs w:val="24"/>
          <w14:textFill>
            <w14:solidFill>
              <w14:schemeClr w14:val="tx1"/>
            </w14:solidFill>
          </w14:textFill>
        </w:rPr>
      </w:pPr>
      <w:bookmarkStart w:id="4" w:name="_Toc31218"/>
      <w:r>
        <w:rPr>
          <w:rFonts w:hint="default" w:ascii="Times New Roman" w:hAnsi="Times New Roman" w:eastAsia="宋体" w:cs="Times New Roman"/>
          <w:b w:val="0"/>
          <w:bCs w:val="0"/>
          <w:color w:val="000000" w:themeColor="text1"/>
          <w:sz w:val="24"/>
          <w:szCs w:val="24"/>
          <w14:textFill>
            <w14:solidFill>
              <w14:schemeClr w14:val="tx1"/>
            </w14:solidFill>
          </w14:textFill>
        </w:rPr>
        <w:t>附件</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2</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t>环评结论</w:t>
      </w:r>
      <w:bookmarkEnd w:id="4"/>
    </w:p>
    <w:p w14:paraId="5F789B14">
      <w:pPr>
        <w:bidi w:val="0"/>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bookmarkStart w:id="5" w:name="_Toc15899"/>
      <w:r>
        <w:rPr>
          <w:rFonts w:hint="default" w:ascii="Times New Roman" w:hAnsi="Times New Roman" w:eastAsia="宋体" w:cs="Times New Roman"/>
          <w:b w:val="0"/>
          <w:bCs w:val="0"/>
          <w:color w:val="000000" w:themeColor="text1"/>
          <w:sz w:val="24"/>
          <w:szCs w:val="24"/>
          <w14:textFill>
            <w14:solidFill>
              <w14:schemeClr w14:val="tx1"/>
            </w14:solidFill>
          </w14:textFill>
        </w:rPr>
        <w:t>附件3</w:t>
      </w:r>
      <w:bookmarkEnd w:id="5"/>
      <w:bookmarkStart w:id="6" w:name="_Toc16344"/>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环评批复</w:t>
      </w:r>
    </w:p>
    <w:bookmarkEnd w:id="6"/>
    <w:p w14:paraId="13525A26">
      <w:pPr>
        <w:bidi w:val="0"/>
        <w:rPr>
          <w:rFonts w:hint="default" w:ascii="Times New Roman" w:hAnsi="Times New Roman" w:eastAsia="宋体" w:cs="Times New Roman"/>
          <w:b w:val="0"/>
          <w:bCs w:val="0"/>
          <w:color w:val="000000" w:themeColor="text1"/>
          <w:sz w:val="24"/>
          <w:szCs w:val="24"/>
          <w14:textFill>
            <w14:solidFill>
              <w14:schemeClr w14:val="tx1"/>
            </w14:solidFill>
          </w14:textFill>
        </w:rPr>
      </w:pPr>
      <w:r>
        <w:rPr>
          <w:rFonts w:hint="default" w:ascii="Times New Roman" w:hAnsi="Times New Roman" w:eastAsia="宋体" w:cs="Times New Roman"/>
          <w:b w:val="0"/>
          <w:bCs w:val="0"/>
          <w:color w:val="000000" w:themeColor="text1"/>
          <w:sz w:val="24"/>
          <w:szCs w:val="24"/>
          <w14:textFill>
            <w14:solidFill>
              <w14:schemeClr w14:val="tx1"/>
            </w14:solidFill>
          </w14:textFill>
        </w:rPr>
        <w:t>附件</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4 危废处置协议</w:t>
      </w:r>
    </w:p>
    <w:p w14:paraId="0F3427C9">
      <w:pPr>
        <w:bidi w:val="0"/>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14:textFill>
            <w14:solidFill>
              <w14:schemeClr w14:val="tx1"/>
            </w14:solidFill>
          </w14:textFill>
        </w:rPr>
        <w:t>附件</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5 污水处理委托处理合同</w:t>
      </w:r>
    </w:p>
    <w:p w14:paraId="7D9BA7C2">
      <w:pPr>
        <w:bidi w:val="0"/>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14:textFill>
            <w14:solidFill>
              <w14:schemeClr w14:val="tx1"/>
            </w14:solidFill>
          </w14:textFill>
        </w:rPr>
        <w:t>附件</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6 验收</w:t>
      </w:r>
      <w:r>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t>工况证明</w:t>
      </w:r>
    </w:p>
    <w:p w14:paraId="70E76989">
      <w:pPr>
        <w:bidi w:val="0"/>
        <w:rPr>
          <w:rFonts w:hint="default" w:ascii="Times New Roman" w:hAnsi="Times New Roman" w:eastAsia="宋体" w:cs="Times New Roman"/>
          <w:b w:val="0"/>
          <w:bCs w:val="0"/>
          <w:color w:val="000000" w:themeColor="text1"/>
          <w:sz w:val="24"/>
          <w:szCs w:val="24"/>
          <w:lang w:val="en-US"/>
          <w14:textFill>
            <w14:solidFill>
              <w14:schemeClr w14:val="tx1"/>
            </w14:solidFill>
          </w14:textFill>
        </w:rPr>
      </w:pPr>
      <w:r>
        <w:rPr>
          <w:rFonts w:hint="default" w:ascii="Times New Roman" w:hAnsi="Times New Roman" w:eastAsia="宋体" w:cs="Times New Roman"/>
          <w:b w:val="0"/>
          <w:bCs w:val="0"/>
          <w:color w:val="000000" w:themeColor="text1"/>
          <w:sz w:val="24"/>
          <w:szCs w:val="24"/>
          <w14:textFill>
            <w14:solidFill>
              <w14:schemeClr w14:val="tx1"/>
            </w14:solidFill>
          </w14:textFill>
        </w:rPr>
        <w:t>附件</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7 固定污染源登记回执</w:t>
      </w:r>
    </w:p>
    <w:p w14:paraId="5A9E8E60">
      <w:pPr>
        <w:bidi w:val="0"/>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pPr>
      <w:bookmarkStart w:id="7" w:name="_Toc7055"/>
      <w:r>
        <w:rPr>
          <w:rFonts w:hint="default" w:ascii="Times New Roman" w:hAnsi="Times New Roman" w:eastAsia="宋体" w:cs="Times New Roman"/>
          <w:b w:val="0"/>
          <w:bCs w:val="0"/>
          <w:color w:val="000000" w:themeColor="text1"/>
          <w:sz w:val="24"/>
          <w:szCs w:val="24"/>
          <w14:textFill>
            <w14:solidFill>
              <w14:schemeClr w14:val="tx1"/>
            </w14:solidFill>
          </w14:textFill>
        </w:rPr>
        <w:t>附件</w:t>
      </w: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8 厂房租赁合同</w:t>
      </w:r>
    </w:p>
    <w:p w14:paraId="06C8131F">
      <w:pPr>
        <w:bidi w:val="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附件</w:t>
      </w:r>
      <w:r>
        <w:rPr>
          <w:rFonts w:hint="eastAsia" w:ascii="Times New Roman" w:hAnsi="Times New Roman" w:eastAsia="宋体" w:cs="Times New Roman"/>
          <w:b w:val="0"/>
          <w:bCs w:val="0"/>
          <w:color w:val="auto"/>
          <w:sz w:val="24"/>
          <w:szCs w:val="24"/>
          <w:lang w:val="en-US" w:eastAsia="zh-CN"/>
        </w:rPr>
        <w:t xml:space="preserve">9 </w:t>
      </w:r>
      <w:r>
        <w:rPr>
          <w:rFonts w:hint="default" w:ascii="Times New Roman" w:hAnsi="Times New Roman" w:eastAsia="宋体" w:cs="Times New Roman"/>
          <w:b w:val="0"/>
          <w:bCs w:val="0"/>
          <w:color w:val="auto"/>
          <w:sz w:val="24"/>
          <w:szCs w:val="24"/>
        </w:rPr>
        <w:t>验收检测报告</w:t>
      </w:r>
      <w:bookmarkEnd w:id="7"/>
    </w:p>
    <w:p w14:paraId="2F21F6C4">
      <w:pPr>
        <w:bidi w:val="0"/>
        <w:rPr>
          <w:rFonts w:hint="eastAsia" w:ascii="Times New Roman" w:hAnsi="Times New Roman" w:eastAsia="宋体" w:cs="Times New Roman"/>
          <w:b w:val="0"/>
          <w:bCs w:val="0"/>
          <w:color w:val="FF0000"/>
          <w:sz w:val="24"/>
          <w:szCs w:val="24"/>
          <w:lang w:val="en-US" w:eastAsia="zh-CN"/>
        </w:rPr>
      </w:pPr>
      <w:bookmarkStart w:id="8" w:name="_Toc9192"/>
      <w:r>
        <w:rPr>
          <w:rFonts w:hint="default" w:ascii="Times New Roman" w:hAnsi="Times New Roman" w:eastAsia="宋体" w:cs="Times New Roman"/>
          <w:b w:val="0"/>
          <w:bCs w:val="0"/>
          <w:color w:val="000000" w:themeColor="text1"/>
          <w:sz w:val="24"/>
          <w:szCs w:val="24"/>
          <w14:textFill>
            <w14:solidFill>
              <w14:schemeClr w14:val="tx1"/>
            </w14:solidFill>
          </w14:textFill>
        </w:rPr>
        <w:t>附件</w:t>
      </w:r>
      <w:bookmarkEnd w:id="8"/>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10 应急预案备案表</w:t>
      </w:r>
    </w:p>
    <w:p w14:paraId="052CB84E">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9"/>
        <w:rPr>
          <w:rFonts w:hint="default" w:ascii="Times New Roman" w:hAnsi="Times New Roman" w:eastAsia="宋体" w:cs="Times New Roman"/>
          <w:b w:val="0"/>
          <w:bCs w:val="0"/>
          <w:color w:val="auto"/>
          <w:sz w:val="24"/>
          <w:szCs w:val="24"/>
        </w:rPr>
        <w:sectPr>
          <w:footerReference r:id="rId8" w:type="default"/>
          <w:pgSz w:w="11906" w:h="16838"/>
          <w:pgMar w:top="1701" w:right="1531" w:bottom="1701" w:left="1531" w:header="708" w:footer="708" w:gutter="0"/>
          <w:pgBorders>
            <w:top w:val="none" w:sz="0" w:space="0"/>
            <w:left w:val="none" w:sz="0" w:space="0"/>
            <w:bottom w:val="none" w:sz="0" w:space="0"/>
            <w:right w:val="none" w:sz="0" w:space="0"/>
          </w:pgBorders>
          <w:pgNumType w:fmt="decimal" w:start="1"/>
          <w:cols w:space="720" w:num="1"/>
          <w:docGrid w:linePitch="360" w:charSpace="0"/>
        </w:sectPr>
      </w:pPr>
      <w:r>
        <w:rPr>
          <w:rFonts w:hint="default" w:ascii="Times New Roman" w:hAnsi="Times New Roman" w:eastAsia="宋体" w:cs="Times New Roman"/>
          <w:b w:val="0"/>
          <w:bCs w:val="0"/>
          <w:color w:val="auto"/>
          <w:sz w:val="24"/>
          <w:szCs w:val="24"/>
          <w:lang w:val="en-US" w:eastAsia="zh-CN"/>
        </w:rPr>
        <w:t>建设项目工程竣工环境保</w:t>
      </w:r>
      <w:r>
        <w:rPr>
          <w:rFonts w:hint="eastAsia" w:ascii="宋体" w:hAnsi="宋体" w:eastAsia="宋体" w:cs="宋体"/>
          <w:b w:val="0"/>
          <w:bCs w:val="0"/>
          <w:color w:val="auto"/>
          <w:sz w:val="24"/>
          <w:szCs w:val="24"/>
          <w:lang w:val="en-US" w:eastAsia="zh-CN"/>
        </w:rPr>
        <w:t>护“三同时”验</w:t>
      </w:r>
      <w:r>
        <w:rPr>
          <w:rFonts w:hint="default" w:ascii="Times New Roman" w:hAnsi="Times New Roman" w:eastAsia="宋体" w:cs="Times New Roman"/>
          <w:b w:val="0"/>
          <w:bCs w:val="0"/>
          <w:color w:val="auto"/>
          <w:sz w:val="24"/>
          <w:szCs w:val="24"/>
          <w:lang w:val="en-US" w:eastAsia="zh-CN"/>
        </w:rPr>
        <w:t>收登记表</w:t>
      </w:r>
    </w:p>
    <w:p w14:paraId="57E1A903">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default" w:ascii="Times New Roman" w:hAnsi="Times New Roman" w:eastAsia="宋体" w:cs="Times New Roman"/>
          <w:b/>
          <w:color w:val="auto"/>
          <w:sz w:val="24"/>
          <w:szCs w:val="24"/>
          <w:lang w:val="en-US" w:eastAsia="zh-CN"/>
        </w:rPr>
      </w:pPr>
      <w:bookmarkStart w:id="9" w:name="_Toc151"/>
      <w:r>
        <w:rPr>
          <w:rFonts w:hint="default" w:ascii="Times New Roman" w:hAnsi="Times New Roman" w:eastAsia="宋体" w:cs="Times New Roman"/>
          <w:b/>
          <w:color w:val="auto"/>
          <w:sz w:val="24"/>
          <w:szCs w:val="24"/>
        </w:rPr>
        <w:t>表一</w:t>
      </w:r>
      <w:r>
        <w:rPr>
          <w:rFonts w:hint="default" w:ascii="Times New Roman" w:hAnsi="Times New Roman" w:eastAsia="宋体" w:cs="Times New Roman"/>
          <w:b/>
          <w:color w:val="auto"/>
          <w:sz w:val="24"/>
          <w:szCs w:val="24"/>
          <w:lang w:val="en-US" w:eastAsia="zh-CN"/>
        </w:rPr>
        <w:t xml:space="preserve">  </w:t>
      </w:r>
      <w:r>
        <w:rPr>
          <w:rFonts w:hint="default" w:ascii="Times New Roman" w:hAnsi="Times New Roman" w:eastAsia="宋体" w:cs="Times New Roman"/>
          <w:b/>
          <w:color w:val="auto"/>
          <w:sz w:val="24"/>
          <w:szCs w:val="24"/>
        </w:rPr>
        <w:t>项目概况、验收监测依据及标准</w:t>
      </w:r>
      <w:bookmarkEnd w:id="9"/>
    </w:p>
    <w:tbl>
      <w:tblPr>
        <w:tblStyle w:val="19"/>
        <w:tblW w:w="89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73"/>
        <w:gridCol w:w="2608"/>
        <w:gridCol w:w="1675"/>
        <w:gridCol w:w="1213"/>
        <w:gridCol w:w="812"/>
        <w:gridCol w:w="943"/>
      </w:tblGrid>
      <w:tr w14:paraId="0D5C6E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4D5250C1">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建设项目名称</w:t>
            </w:r>
          </w:p>
        </w:tc>
        <w:tc>
          <w:tcPr>
            <w:tcW w:w="7251" w:type="dxa"/>
            <w:gridSpan w:val="5"/>
            <w:noWrap w:val="0"/>
            <w:vAlign w:val="center"/>
          </w:tcPr>
          <w:p w14:paraId="408902D0">
            <w:pPr>
              <w:spacing w:after="0" w:afterLines="0"/>
              <w:jc w:val="center"/>
              <w:rPr>
                <w:rFonts w:hint="eastAsia" w:ascii="Times New Roman" w:hAnsi="Times New Roman" w:cs="Times New Roman" w:eastAsiaTheme="minorEastAsia"/>
                <w:color w:val="auto"/>
                <w:sz w:val="24"/>
                <w:szCs w:val="24"/>
                <w:lang w:eastAsia="zh-CN"/>
              </w:rPr>
            </w:pPr>
            <w:r>
              <w:rPr>
                <w:rFonts w:hint="eastAsia" w:ascii="Times New Roman" w:hAnsi="Times New Roman" w:cs="Times New Roman" w:eastAsiaTheme="minorEastAsia"/>
                <w:color w:val="auto"/>
                <w:sz w:val="24"/>
                <w:szCs w:val="24"/>
                <w:lang w:eastAsia="zh-CN"/>
              </w:rPr>
              <w:t>年产1.2亿平方米PVC保护膜项</w:t>
            </w:r>
            <w:r>
              <w:rPr>
                <w:rFonts w:hint="eastAsia" w:ascii="Times New Roman" w:hAnsi="Times New Roman" w:cs="Times New Roman" w:eastAsiaTheme="minorEastAsia"/>
                <w:color w:val="auto"/>
                <w:sz w:val="24"/>
                <w:szCs w:val="24"/>
                <w:highlight w:val="none"/>
                <w:lang w:eastAsia="zh-CN"/>
              </w:rPr>
              <w:t>目（现阶段）</w:t>
            </w:r>
          </w:p>
        </w:tc>
      </w:tr>
      <w:tr w14:paraId="25FCE4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1CADB2A8">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建设单位名称</w:t>
            </w:r>
          </w:p>
        </w:tc>
        <w:tc>
          <w:tcPr>
            <w:tcW w:w="7251" w:type="dxa"/>
            <w:gridSpan w:val="5"/>
            <w:noWrap w:val="0"/>
            <w:vAlign w:val="center"/>
          </w:tcPr>
          <w:p w14:paraId="34E954D5">
            <w:pPr>
              <w:spacing w:after="0" w:afterLines="0"/>
              <w:jc w:val="center"/>
              <w:rPr>
                <w:rFonts w:hint="eastAsia" w:ascii="Times New Roman" w:hAnsi="Times New Roman" w:cs="Times New Roman" w:eastAsiaTheme="minorEastAsia"/>
                <w:color w:val="auto"/>
                <w:sz w:val="24"/>
                <w:szCs w:val="24"/>
                <w:lang w:eastAsia="zh-CN"/>
              </w:rPr>
            </w:pPr>
            <w:r>
              <w:rPr>
                <w:rFonts w:hint="eastAsia" w:ascii="Times New Roman" w:hAnsi="Times New Roman" w:cs="Times New Roman" w:eastAsiaTheme="minorEastAsia"/>
                <w:color w:val="auto"/>
                <w:sz w:val="24"/>
                <w:szCs w:val="24"/>
                <w:lang w:eastAsia="zh-CN"/>
              </w:rPr>
              <w:t>黄山市航瑞新材料有限公司</w:t>
            </w:r>
          </w:p>
        </w:tc>
      </w:tr>
      <w:tr w14:paraId="146C5C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52943F68">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建设项目性质</w:t>
            </w:r>
          </w:p>
        </w:tc>
        <w:tc>
          <w:tcPr>
            <w:tcW w:w="7251" w:type="dxa"/>
            <w:gridSpan w:val="5"/>
            <w:noWrap w:val="0"/>
            <w:vAlign w:val="center"/>
          </w:tcPr>
          <w:p w14:paraId="46E96E6B">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新建</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 xml:space="preserve">    改扩建</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 xml:space="preserve">   技改</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 xml:space="preserve">    迁建</w:t>
            </w:r>
            <w:r>
              <w:rPr>
                <w:rFonts w:hint="default" w:ascii="Times New Roman" w:hAnsi="Times New Roman" w:cs="Times New Roman" w:eastAsiaTheme="minorEastAsia"/>
                <w:color w:val="auto"/>
                <w:sz w:val="24"/>
                <w:szCs w:val="24"/>
                <w:lang w:eastAsia="zh-CN"/>
              </w:rPr>
              <w:t>□</w:t>
            </w:r>
          </w:p>
        </w:tc>
      </w:tr>
      <w:tr w14:paraId="20077D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1E63EFEE">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建设地点</w:t>
            </w:r>
          </w:p>
        </w:tc>
        <w:tc>
          <w:tcPr>
            <w:tcW w:w="7251" w:type="dxa"/>
            <w:gridSpan w:val="5"/>
            <w:noWrap w:val="0"/>
            <w:vAlign w:val="center"/>
          </w:tcPr>
          <w:p w14:paraId="340C5713">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安徽省黄山</w:t>
            </w:r>
            <w:r>
              <w:rPr>
                <w:rFonts w:hint="eastAsia" w:ascii="Times New Roman" w:hAnsi="Times New Roman" w:cs="Times New Roman" w:eastAsiaTheme="minorEastAsia"/>
                <w:color w:val="auto"/>
                <w:sz w:val="24"/>
                <w:szCs w:val="24"/>
                <w:lang w:val="en-US" w:eastAsia="zh-CN"/>
              </w:rPr>
              <w:t>市</w:t>
            </w:r>
            <w:r>
              <w:rPr>
                <w:rFonts w:hint="default" w:ascii="Times New Roman" w:hAnsi="Times New Roman" w:cs="Times New Roman" w:eastAsiaTheme="minorEastAsia"/>
                <w:color w:val="auto"/>
                <w:sz w:val="24"/>
                <w:szCs w:val="24"/>
              </w:rPr>
              <w:t>歙县化工园区</w:t>
            </w:r>
            <w:r>
              <w:rPr>
                <w:rFonts w:hint="eastAsia" w:ascii="Times New Roman" w:hAnsi="Times New Roman" w:cs="Times New Roman" w:eastAsiaTheme="minorEastAsia"/>
                <w:color w:val="auto"/>
                <w:sz w:val="24"/>
                <w:szCs w:val="24"/>
                <w:lang w:val="en-US" w:eastAsia="zh-CN"/>
              </w:rPr>
              <w:t>内</w:t>
            </w:r>
            <w:r>
              <w:rPr>
                <w:rFonts w:hint="default" w:ascii="Times New Roman" w:hAnsi="Times New Roman" w:cs="Times New Roman" w:eastAsiaTheme="minorEastAsia"/>
                <w:color w:val="auto"/>
                <w:sz w:val="24"/>
                <w:szCs w:val="24"/>
              </w:rPr>
              <w:t>北环路南经二路西侧</w:t>
            </w:r>
          </w:p>
        </w:tc>
      </w:tr>
      <w:tr w14:paraId="12DF5A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7D218406">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主要产品名称</w:t>
            </w:r>
          </w:p>
        </w:tc>
        <w:tc>
          <w:tcPr>
            <w:tcW w:w="7251" w:type="dxa"/>
            <w:gridSpan w:val="5"/>
            <w:noWrap w:val="0"/>
            <w:vAlign w:val="center"/>
          </w:tcPr>
          <w:p w14:paraId="447E4132">
            <w:pPr>
              <w:spacing w:after="0" w:afterLines="0"/>
              <w:jc w:val="center"/>
              <w:rPr>
                <w:rFonts w:hint="eastAsia"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PVC保护膜</w:t>
            </w:r>
          </w:p>
        </w:tc>
      </w:tr>
      <w:tr w14:paraId="7BFD26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77B842C7">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设计生产能力</w:t>
            </w:r>
          </w:p>
        </w:tc>
        <w:tc>
          <w:tcPr>
            <w:tcW w:w="7251" w:type="dxa"/>
            <w:gridSpan w:val="5"/>
            <w:noWrap w:val="0"/>
            <w:vAlign w:val="center"/>
          </w:tcPr>
          <w:p w14:paraId="58D26EA8">
            <w:pPr>
              <w:spacing w:after="0" w:afterLine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1.2亿平方米</w:t>
            </w:r>
            <w:r>
              <w:rPr>
                <w:rFonts w:hint="eastAsia" w:ascii="Times New Roman" w:hAnsi="Times New Roman" w:cs="Times New Roman" w:eastAsiaTheme="minorEastAsia"/>
                <w:color w:val="auto"/>
                <w:sz w:val="24"/>
                <w:szCs w:val="24"/>
                <w:lang w:val="en-US" w:eastAsia="zh-CN"/>
              </w:rPr>
              <w:t>PVC保护膜</w:t>
            </w:r>
          </w:p>
        </w:tc>
      </w:tr>
      <w:tr w14:paraId="6CFE3A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0EFE1122">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实际生产能力</w:t>
            </w:r>
          </w:p>
        </w:tc>
        <w:tc>
          <w:tcPr>
            <w:tcW w:w="7251" w:type="dxa"/>
            <w:gridSpan w:val="5"/>
            <w:noWrap w:val="0"/>
            <w:vAlign w:val="center"/>
          </w:tcPr>
          <w:p w14:paraId="4AED046A">
            <w:pPr>
              <w:numPr>
                <w:ilvl w:val="0"/>
                <w:numId w:val="0"/>
              </w:numPr>
              <w:spacing w:after="0" w:afterLines="0"/>
              <w:jc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现阶段</w:t>
            </w:r>
            <w:r>
              <w:rPr>
                <w:rFonts w:hint="default" w:ascii="Times New Roman" w:hAnsi="Times New Roman" w:cs="Times New Roman" w:eastAsiaTheme="minorEastAsia"/>
                <w:color w:val="auto"/>
                <w:sz w:val="24"/>
                <w:szCs w:val="24"/>
                <w:lang w:val="en-US" w:eastAsia="zh-CN"/>
              </w:rPr>
              <w:t>4000万平</w:t>
            </w:r>
            <w:r>
              <w:rPr>
                <w:rFonts w:hint="eastAsia" w:ascii="Times New Roman" w:hAnsi="Times New Roman" w:cs="Times New Roman" w:eastAsiaTheme="minorEastAsia"/>
                <w:color w:val="auto"/>
                <w:sz w:val="24"/>
                <w:szCs w:val="24"/>
                <w:lang w:val="en-US" w:eastAsia="zh-CN"/>
              </w:rPr>
              <w:t>方</w:t>
            </w:r>
            <w:r>
              <w:rPr>
                <w:rFonts w:hint="default" w:ascii="Times New Roman" w:hAnsi="Times New Roman" w:cs="Times New Roman" w:eastAsiaTheme="minorEastAsia"/>
                <w:color w:val="auto"/>
                <w:sz w:val="24"/>
                <w:szCs w:val="24"/>
                <w:lang w:val="en-US" w:eastAsia="zh-CN"/>
              </w:rPr>
              <w:t>米</w:t>
            </w:r>
            <w:r>
              <w:rPr>
                <w:rFonts w:hint="eastAsia" w:ascii="Times New Roman" w:hAnsi="Times New Roman" w:cs="Times New Roman" w:eastAsiaTheme="minorEastAsia"/>
                <w:color w:val="auto"/>
                <w:sz w:val="24"/>
                <w:szCs w:val="24"/>
                <w:lang w:val="en-US" w:eastAsia="zh-CN"/>
              </w:rPr>
              <w:t>PVC保护膜</w:t>
            </w:r>
          </w:p>
        </w:tc>
      </w:tr>
      <w:tr w14:paraId="54833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464AB2B9">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环评时间</w:t>
            </w:r>
          </w:p>
        </w:tc>
        <w:tc>
          <w:tcPr>
            <w:tcW w:w="2608" w:type="dxa"/>
            <w:noWrap w:val="0"/>
            <w:vAlign w:val="center"/>
          </w:tcPr>
          <w:p w14:paraId="19D4588C">
            <w:pPr>
              <w:spacing w:after="0" w:afterLines="0"/>
              <w:jc w:val="center"/>
              <w:rPr>
                <w:rFonts w:hint="default" w:ascii="Times New Roman" w:hAnsi="Times New Roman" w:cs="Times New Roman" w:eastAsiaTheme="minorEastAsia"/>
                <w:color w:val="FF0000"/>
                <w:sz w:val="24"/>
                <w:szCs w:val="24"/>
                <w:lang w:val="en-US" w:eastAsia="zh-CN"/>
              </w:rPr>
            </w:pPr>
            <w:r>
              <w:rPr>
                <w:rFonts w:hint="eastAsia" w:ascii="Times New Roman" w:hAnsi="Times New Roman" w:cs="Times New Roman" w:eastAsiaTheme="minorEastAsia"/>
                <w:color w:val="auto"/>
                <w:sz w:val="24"/>
                <w:szCs w:val="24"/>
                <w:lang w:val="en-US" w:eastAsia="zh-CN"/>
              </w:rPr>
              <w:t>2021年11月</w:t>
            </w:r>
          </w:p>
        </w:tc>
        <w:tc>
          <w:tcPr>
            <w:tcW w:w="1675" w:type="dxa"/>
            <w:noWrap w:val="0"/>
            <w:vAlign w:val="center"/>
          </w:tcPr>
          <w:p w14:paraId="1A90BFD3">
            <w:pPr>
              <w:spacing w:after="0" w:afterLines="0"/>
              <w:jc w:val="center"/>
              <w:rPr>
                <w:rFonts w:hint="default" w:ascii="Times New Roman" w:hAnsi="Times New Roman" w:cs="Times New Roman" w:eastAsiaTheme="minorEastAsia"/>
                <w:color w:val="FF0000"/>
                <w:sz w:val="24"/>
                <w:szCs w:val="24"/>
                <w:lang w:val="en-US" w:eastAsia="zh-CN"/>
              </w:rPr>
            </w:pPr>
            <w:r>
              <w:rPr>
                <w:rFonts w:hint="default" w:ascii="Times New Roman" w:hAnsi="Times New Roman" w:cs="Times New Roman" w:eastAsiaTheme="minorEastAsia"/>
                <w:color w:val="auto"/>
                <w:sz w:val="24"/>
                <w:szCs w:val="24"/>
                <w:lang w:val="en-US" w:eastAsia="zh-CN"/>
              </w:rPr>
              <w:t>开工建设时间</w:t>
            </w:r>
          </w:p>
        </w:tc>
        <w:tc>
          <w:tcPr>
            <w:tcW w:w="2968" w:type="dxa"/>
            <w:gridSpan w:val="3"/>
            <w:noWrap w:val="0"/>
            <w:vAlign w:val="center"/>
          </w:tcPr>
          <w:p w14:paraId="4AB83876">
            <w:pPr>
              <w:spacing w:after="0" w:afterLines="0"/>
              <w:jc w:val="center"/>
              <w:rPr>
                <w:rFonts w:hint="default" w:ascii="Times New Roman" w:hAnsi="Times New Roman" w:cs="Times New Roman" w:eastAsiaTheme="minorEastAsia"/>
                <w:color w:val="FF0000"/>
                <w:sz w:val="24"/>
                <w:szCs w:val="24"/>
                <w:lang w:val="en-US" w:eastAsia="zh-CN"/>
              </w:rPr>
            </w:pPr>
            <w:r>
              <w:rPr>
                <w:rFonts w:hint="eastAsia" w:ascii="Times New Roman" w:hAnsi="Times New Roman" w:cs="Times New Roman" w:eastAsiaTheme="minorEastAsia"/>
                <w:color w:val="auto"/>
                <w:sz w:val="24"/>
                <w:szCs w:val="24"/>
                <w:lang w:val="en-US" w:eastAsia="zh-CN"/>
              </w:rPr>
              <w:t>2022年3月</w:t>
            </w:r>
          </w:p>
        </w:tc>
      </w:tr>
      <w:tr w14:paraId="04B677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2C77764D">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调试时间</w:t>
            </w:r>
          </w:p>
        </w:tc>
        <w:tc>
          <w:tcPr>
            <w:tcW w:w="2608" w:type="dxa"/>
            <w:noWrap w:val="0"/>
            <w:vAlign w:val="center"/>
          </w:tcPr>
          <w:p w14:paraId="53FCA660">
            <w:pPr>
              <w:spacing w:after="0" w:afterLines="0"/>
              <w:jc w:val="center"/>
              <w:rPr>
                <w:rFonts w:hint="default" w:ascii="Times New Roman" w:hAnsi="Times New Roman" w:cs="Times New Roman" w:eastAsiaTheme="minorEastAsia"/>
                <w:color w:val="FF0000"/>
                <w:sz w:val="24"/>
                <w:szCs w:val="24"/>
                <w:lang w:val="en-US" w:eastAsia="zh-CN"/>
              </w:rPr>
            </w:pPr>
            <w:r>
              <w:rPr>
                <w:rFonts w:hint="eastAsia" w:ascii="Times New Roman" w:hAnsi="Times New Roman" w:cs="Times New Roman" w:eastAsiaTheme="minorEastAsia"/>
                <w:color w:val="auto"/>
                <w:sz w:val="24"/>
                <w:szCs w:val="24"/>
                <w:lang w:val="en-US" w:eastAsia="zh-CN"/>
              </w:rPr>
              <w:t>2025年10月18~25日</w:t>
            </w:r>
          </w:p>
        </w:tc>
        <w:tc>
          <w:tcPr>
            <w:tcW w:w="1675" w:type="dxa"/>
            <w:noWrap w:val="0"/>
            <w:vAlign w:val="center"/>
          </w:tcPr>
          <w:p w14:paraId="37244F96">
            <w:pPr>
              <w:spacing w:after="0" w:afterLine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现场监测时间</w:t>
            </w:r>
          </w:p>
        </w:tc>
        <w:tc>
          <w:tcPr>
            <w:tcW w:w="2968" w:type="dxa"/>
            <w:gridSpan w:val="3"/>
            <w:noWrap w:val="0"/>
            <w:vAlign w:val="center"/>
          </w:tcPr>
          <w:p w14:paraId="1706AFC6">
            <w:pPr>
              <w:spacing w:after="0" w:afterLines="0"/>
              <w:jc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2026年1月10日~11日</w:t>
            </w:r>
          </w:p>
        </w:tc>
      </w:tr>
      <w:tr w14:paraId="0E15E4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673" w:type="dxa"/>
            <w:noWrap w:val="0"/>
            <w:vAlign w:val="center"/>
          </w:tcPr>
          <w:p w14:paraId="04667907">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环评报告表</w:t>
            </w:r>
          </w:p>
          <w:p w14:paraId="001AC218">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审批部门</w:t>
            </w:r>
          </w:p>
        </w:tc>
        <w:tc>
          <w:tcPr>
            <w:tcW w:w="2608" w:type="dxa"/>
            <w:noWrap w:val="0"/>
            <w:vAlign w:val="center"/>
          </w:tcPr>
          <w:p w14:paraId="47E6A0BD">
            <w:pPr>
              <w:spacing w:after="0" w:afterLines="0"/>
              <w:jc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黄山市歙县生态环境分局</w:t>
            </w:r>
          </w:p>
        </w:tc>
        <w:tc>
          <w:tcPr>
            <w:tcW w:w="1675" w:type="dxa"/>
            <w:noWrap w:val="0"/>
            <w:vAlign w:val="center"/>
          </w:tcPr>
          <w:p w14:paraId="5E987F42">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环评报告表编制单位</w:t>
            </w:r>
          </w:p>
        </w:tc>
        <w:tc>
          <w:tcPr>
            <w:tcW w:w="2968" w:type="dxa"/>
            <w:gridSpan w:val="3"/>
            <w:noWrap w:val="0"/>
            <w:vAlign w:val="center"/>
          </w:tcPr>
          <w:p w14:paraId="67E5E6A4">
            <w:pPr>
              <w:spacing w:after="0" w:afterLines="0"/>
              <w:jc w:val="center"/>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安徽国恩环境工程有限公司</w:t>
            </w:r>
          </w:p>
        </w:tc>
      </w:tr>
      <w:tr w14:paraId="576931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44DEA82C">
            <w:pPr>
              <w:spacing w:after="0" w:afterLines="0"/>
              <w:jc w:val="center"/>
              <w:rPr>
                <w:rFonts w:hint="default" w:ascii="Times New Roman" w:hAnsi="Times New Roman" w:cs="Times New Roman" w:eastAsiaTheme="minorEastAsia"/>
                <w:color w:val="FF0000"/>
                <w:sz w:val="24"/>
                <w:szCs w:val="24"/>
              </w:rPr>
            </w:pPr>
            <w:r>
              <w:rPr>
                <w:rFonts w:hint="default" w:ascii="Times New Roman" w:hAnsi="Times New Roman" w:cs="Times New Roman" w:eastAsiaTheme="minorEastAsia"/>
                <w:color w:val="auto"/>
                <w:sz w:val="24"/>
                <w:szCs w:val="24"/>
              </w:rPr>
              <w:t>环保设施设计单位</w:t>
            </w:r>
          </w:p>
        </w:tc>
        <w:tc>
          <w:tcPr>
            <w:tcW w:w="2608" w:type="dxa"/>
            <w:noWrap w:val="0"/>
            <w:vAlign w:val="center"/>
          </w:tcPr>
          <w:p w14:paraId="77D1BA7D">
            <w:pPr>
              <w:spacing w:after="0" w:afterLines="0"/>
              <w:jc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安徽中资腾扬环保工程有限公司</w:t>
            </w:r>
          </w:p>
        </w:tc>
        <w:tc>
          <w:tcPr>
            <w:tcW w:w="1675" w:type="dxa"/>
            <w:noWrap w:val="0"/>
            <w:vAlign w:val="center"/>
          </w:tcPr>
          <w:p w14:paraId="58F0F698">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环保设施施工单位</w:t>
            </w:r>
          </w:p>
        </w:tc>
        <w:tc>
          <w:tcPr>
            <w:tcW w:w="2968" w:type="dxa"/>
            <w:gridSpan w:val="3"/>
            <w:noWrap w:val="0"/>
            <w:vAlign w:val="center"/>
          </w:tcPr>
          <w:p w14:paraId="5FD7C1A9">
            <w:pPr>
              <w:spacing w:after="0" w:afterLines="0"/>
              <w:jc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安徽中资腾扬环保工程有限公司</w:t>
            </w:r>
          </w:p>
        </w:tc>
      </w:tr>
      <w:tr w14:paraId="4839E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15D92CBB">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投资总概算</w:t>
            </w:r>
          </w:p>
        </w:tc>
        <w:tc>
          <w:tcPr>
            <w:tcW w:w="2608" w:type="dxa"/>
            <w:noWrap w:val="0"/>
            <w:vAlign w:val="center"/>
          </w:tcPr>
          <w:p w14:paraId="2A3B0E10">
            <w:pPr>
              <w:spacing w:after="0" w:afterLines="0"/>
              <w:jc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27000万元</w:t>
            </w:r>
          </w:p>
        </w:tc>
        <w:tc>
          <w:tcPr>
            <w:tcW w:w="1675" w:type="dxa"/>
            <w:noWrap w:val="0"/>
            <w:vAlign w:val="center"/>
          </w:tcPr>
          <w:p w14:paraId="46EA686C">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环保投资总概算</w:t>
            </w:r>
          </w:p>
        </w:tc>
        <w:tc>
          <w:tcPr>
            <w:tcW w:w="1213" w:type="dxa"/>
            <w:noWrap w:val="0"/>
            <w:vAlign w:val="center"/>
          </w:tcPr>
          <w:p w14:paraId="11D030AB">
            <w:pPr>
              <w:spacing w:after="0" w:afterLines="0"/>
              <w:jc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79万元</w:t>
            </w:r>
          </w:p>
        </w:tc>
        <w:tc>
          <w:tcPr>
            <w:tcW w:w="812" w:type="dxa"/>
            <w:noWrap w:val="0"/>
            <w:vAlign w:val="center"/>
          </w:tcPr>
          <w:p w14:paraId="1D1339E5">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比例</w:t>
            </w:r>
          </w:p>
        </w:tc>
        <w:tc>
          <w:tcPr>
            <w:tcW w:w="943" w:type="dxa"/>
            <w:noWrap w:val="0"/>
            <w:vAlign w:val="center"/>
          </w:tcPr>
          <w:p w14:paraId="752B57AC">
            <w:pPr>
              <w:spacing w:after="0" w:afterLines="0"/>
              <w:jc w:val="center"/>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lang w:val="en-US" w:eastAsia="zh-CN"/>
              </w:rPr>
              <w:t>0.29</w:t>
            </w:r>
            <w:r>
              <w:rPr>
                <w:rFonts w:hint="default" w:ascii="Times New Roman" w:hAnsi="Times New Roman" w:cs="Times New Roman" w:eastAsiaTheme="minorEastAsia"/>
                <w:color w:val="auto"/>
                <w:sz w:val="24"/>
                <w:szCs w:val="24"/>
              </w:rPr>
              <w:t>%</w:t>
            </w:r>
          </w:p>
        </w:tc>
      </w:tr>
      <w:tr w14:paraId="16DA7B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73" w:type="dxa"/>
            <w:noWrap w:val="0"/>
            <w:vAlign w:val="center"/>
          </w:tcPr>
          <w:p w14:paraId="6524A350">
            <w:pPr>
              <w:spacing w:after="0" w:afterLines="0"/>
              <w:jc w:val="center"/>
              <w:rPr>
                <w:rFonts w:hint="eastAsia" w:ascii="Times New Roman" w:hAnsi="Times New Roman" w:cs="Times New Roman" w:eastAsiaTheme="minorEastAsia"/>
                <w:color w:val="FF0000"/>
                <w:sz w:val="24"/>
                <w:szCs w:val="24"/>
                <w:lang w:eastAsia="zh-CN"/>
              </w:rPr>
            </w:pPr>
            <w:r>
              <w:rPr>
                <w:rFonts w:hint="default" w:ascii="Times New Roman" w:hAnsi="Times New Roman" w:cs="Times New Roman" w:eastAsiaTheme="minorEastAsia"/>
                <w:color w:val="000000" w:themeColor="text1"/>
                <w:sz w:val="24"/>
                <w:szCs w:val="24"/>
                <w14:textFill>
                  <w14:solidFill>
                    <w14:schemeClr w14:val="tx1"/>
                  </w14:solidFill>
                </w14:textFill>
              </w:rPr>
              <w:t>实际总概算</w:t>
            </w:r>
          </w:p>
        </w:tc>
        <w:tc>
          <w:tcPr>
            <w:tcW w:w="2608" w:type="dxa"/>
            <w:noWrap w:val="0"/>
            <w:vAlign w:val="center"/>
          </w:tcPr>
          <w:p w14:paraId="5CE5DE56">
            <w:pPr>
              <w:spacing w:after="0" w:afterLines="0"/>
              <w:jc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1800万元</w:t>
            </w:r>
          </w:p>
        </w:tc>
        <w:tc>
          <w:tcPr>
            <w:tcW w:w="1675" w:type="dxa"/>
            <w:noWrap w:val="0"/>
            <w:vAlign w:val="center"/>
          </w:tcPr>
          <w:p w14:paraId="72D155D0">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环保投资</w:t>
            </w:r>
          </w:p>
        </w:tc>
        <w:tc>
          <w:tcPr>
            <w:tcW w:w="1213" w:type="dxa"/>
            <w:noWrap w:val="0"/>
            <w:vAlign w:val="center"/>
          </w:tcPr>
          <w:p w14:paraId="025C872F">
            <w:pPr>
              <w:spacing w:after="0" w:afterLines="0"/>
              <w:jc w:val="center"/>
              <w:rPr>
                <w:rFonts w:hint="default"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54万元</w:t>
            </w:r>
          </w:p>
        </w:tc>
        <w:tc>
          <w:tcPr>
            <w:tcW w:w="812" w:type="dxa"/>
            <w:noWrap w:val="0"/>
            <w:vAlign w:val="center"/>
          </w:tcPr>
          <w:p w14:paraId="715FC5C9">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比例</w:t>
            </w:r>
          </w:p>
        </w:tc>
        <w:tc>
          <w:tcPr>
            <w:tcW w:w="943" w:type="dxa"/>
            <w:noWrap w:val="0"/>
            <w:vAlign w:val="center"/>
          </w:tcPr>
          <w:p w14:paraId="1D82E316">
            <w:pPr>
              <w:spacing w:after="0" w:afterLines="0"/>
              <w:jc w:val="center"/>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lang w:val="en-US" w:eastAsia="zh-CN"/>
              </w:rPr>
              <w:t>3.0</w:t>
            </w:r>
            <w:r>
              <w:rPr>
                <w:rFonts w:hint="default" w:ascii="Times New Roman" w:hAnsi="Times New Roman" w:cs="Times New Roman" w:eastAsiaTheme="minorEastAsia"/>
                <w:color w:val="auto"/>
                <w:sz w:val="24"/>
                <w:szCs w:val="24"/>
              </w:rPr>
              <w:t>%</w:t>
            </w:r>
          </w:p>
        </w:tc>
      </w:tr>
      <w:tr w14:paraId="4338E6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3" w:type="dxa"/>
            <w:noWrap w:val="0"/>
            <w:vAlign w:val="center"/>
          </w:tcPr>
          <w:p w14:paraId="45CD1947">
            <w:pPr>
              <w:spacing w:after="0" w:afterLines="0"/>
              <w:jc w:val="cente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验收监测依据</w:t>
            </w:r>
          </w:p>
        </w:tc>
        <w:tc>
          <w:tcPr>
            <w:tcW w:w="7251" w:type="dxa"/>
            <w:gridSpan w:val="5"/>
            <w:noWrap w:val="0"/>
            <w:vAlign w:val="center"/>
          </w:tcPr>
          <w:p w14:paraId="0A48B637">
            <w:pPr>
              <w:pStyle w:val="5"/>
              <w:pageBreakBefore w:val="0"/>
              <w:widowControl/>
              <w:kinsoku/>
              <w:wordWrap/>
              <w:overflowPunct/>
              <w:topLinePunct w:val="0"/>
              <w:autoSpaceDE/>
              <w:autoSpaceDN/>
              <w:bidi w:val="0"/>
              <w:adjustRightInd w:val="0"/>
              <w:snapToGrid w:val="0"/>
              <w:spacing w:after="0" w:line="360" w:lineRule="auto"/>
              <w:ind w:left="0" w:firstLine="482" w:firstLineChars="200"/>
              <w:textAlignment w:val="auto"/>
              <w:rPr>
                <w:rFonts w:hint="eastAsia" w:ascii="Times New Roman" w:hAnsi="Times New Roman" w:cs="Times New Roman" w:eastAsiaTheme="minorEastAsia"/>
                <w:b/>
                <w:bCs/>
                <w:color w:val="auto"/>
                <w:sz w:val="24"/>
                <w:szCs w:val="24"/>
                <w:lang w:val="en-US" w:eastAsia="zh-CN" w:bidi="ar-SA"/>
              </w:rPr>
            </w:pPr>
            <w:bookmarkStart w:id="10" w:name="_Toc17067"/>
            <w:r>
              <w:rPr>
                <w:rFonts w:hint="eastAsia" w:cs="Times New Roman" w:eastAsiaTheme="minorEastAsia"/>
                <w:b/>
                <w:bCs/>
                <w:color w:val="auto"/>
                <w:sz w:val="24"/>
                <w:szCs w:val="24"/>
                <w:lang w:val="en-US" w:eastAsia="zh-CN" w:bidi="ar-SA"/>
              </w:rPr>
              <w:t>1.</w:t>
            </w:r>
            <w:r>
              <w:rPr>
                <w:rFonts w:hint="eastAsia" w:ascii="Times New Roman" w:hAnsi="Times New Roman" w:cs="Times New Roman" w:eastAsiaTheme="minorEastAsia"/>
                <w:b/>
                <w:bCs/>
                <w:color w:val="auto"/>
                <w:sz w:val="24"/>
                <w:szCs w:val="24"/>
                <w:lang w:val="en-US" w:eastAsia="zh-CN" w:bidi="ar-SA"/>
              </w:rPr>
              <w:t>验收依据的法律、法规、规章</w:t>
            </w:r>
            <w:bookmarkEnd w:id="10"/>
          </w:p>
          <w:p w14:paraId="0C668BC6">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（1）《中华人民共和国环境保护法》（2015年1月1日起施行）；</w:t>
            </w:r>
          </w:p>
          <w:p w14:paraId="7A10374A">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（2）《中华人民共和国水污染防治法》（2018年1月1日起施行）；</w:t>
            </w:r>
          </w:p>
          <w:p w14:paraId="18D7F8A8">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（3）《中华人民共和国大气污染防治法》（1988年6月1日施行，2018年10月26日修正）；</w:t>
            </w:r>
          </w:p>
          <w:p w14:paraId="6784BF45">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（4）《中华人民共和国固体废物污染环境防治法》（2020年4月29日修正）；</w:t>
            </w:r>
          </w:p>
          <w:p w14:paraId="333C781C">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（5）《中华人民共和国噪声污染防治法》（2021年12月24日通过，2022年6月5日起施行）；</w:t>
            </w:r>
          </w:p>
          <w:p w14:paraId="7F688647">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（6）《建设项目环境保护管理条例》（国务院令第682号，2017年10月1号施行）；</w:t>
            </w:r>
          </w:p>
          <w:p w14:paraId="120A4038">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（7）《建设项目竣工环境保护验收暂行办法》（国环规环评〔2017〕4号，2017年11月22日）；</w:t>
            </w:r>
          </w:p>
          <w:p w14:paraId="50252D80">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highlight w:val="none"/>
                <w:lang w:val="en-US" w:eastAsia="zh-CN" w:bidi="ar-SA"/>
              </w:rPr>
              <w:t>（8）</w:t>
            </w:r>
            <w:r>
              <w:rPr>
                <w:rFonts w:hint="eastAsia" w:ascii="Times New Roman" w:hAnsi="Times New Roman" w:cs="Times New Roman" w:eastAsiaTheme="minorEastAsia"/>
                <w:b w:val="0"/>
                <w:bCs w:val="0"/>
                <w:color w:val="auto"/>
                <w:sz w:val="24"/>
                <w:szCs w:val="24"/>
                <w:lang w:val="en-US" w:eastAsia="zh-CN" w:bidi="ar-SA"/>
              </w:rPr>
              <w:t>《国家危险废物名录（2025年版）》（2025年1月1日施行）；</w:t>
            </w:r>
          </w:p>
          <w:p w14:paraId="1E5C9001">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highlight w:val="none"/>
                <w:lang w:val="en-US" w:eastAsia="zh-CN" w:bidi="ar-SA"/>
              </w:rPr>
              <w:t>（9）</w:t>
            </w:r>
            <w:r>
              <w:rPr>
                <w:rFonts w:hint="eastAsia" w:ascii="Times New Roman" w:hAnsi="Times New Roman" w:cs="Times New Roman" w:eastAsiaTheme="minorEastAsia"/>
                <w:b w:val="0"/>
                <w:bCs w:val="0"/>
                <w:color w:val="auto"/>
                <w:sz w:val="24"/>
                <w:szCs w:val="24"/>
                <w:lang w:val="en-US" w:eastAsia="zh-CN" w:bidi="ar-SA"/>
              </w:rPr>
              <w:t>《建设项目竣工环境保护验收技术指南 污染影响类》（2018年5月16日）；</w:t>
            </w:r>
          </w:p>
          <w:p w14:paraId="0CA40D25">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highlight w:val="none"/>
                <w:lang w:val="en-US" w:eastAsia="zh-CN" w:bidi="ar-SA"/>
              </w:rPr>
              <w:t>（10）</w:t>
            </w:r>
            <w:r>
              <w:rPr>
                <w:rFonts w:hint="default" w:ascii="Times New Roman" w:hAnsi="Times New Roman" w:cs="Times New Roman" w:eastAsiaTheme="minorEastAsia"/>
                <w:b w:val="0"/>
                <w:bCs w:val="0"/>
                <w:color w:val="auto"/>
                <w:sz w:val="24"/>
                <w:szCs w:val="24"/>
                <w:lang w:val="en-US" w:eastAsia="zh-CN" w:bidi="ar-SA"/>
              </w:rPr>
              <w:t>《污染影响类建设项目重大变动清单（试行）》（环办环评函</w:t>
            </w:r>
            <w:r>
              <w:rPr>
                <w:rFonts w:hint="eastAsia" w:ascii="Times New Roman" w:hAnsi="Times New Roman" w:cs="Times New Roman" w:eastAsiaTheme="minorEastAsia"/>
                <w:b w:val="0"/>
                <w:bCs w:val="0"/>
                <w:color w:val="auto"/>
                <w:sz w:val="24"/>
                <w:szCs w:val="24"/>
                <w:lang w:val="en-US" w:eastAsia="zh-CN" w:bidi="ar-SA"/>
              </w:rPr>
              <w:t>〔</w:t>
            </w:r>
            <w:r>
              <w:rPr>
                <w:rFonts w:hint="default" w:ascii="Times New Roman" w:hAnsi="Times New Roman" w:cs="Times New Roman" w:eastAsiaTheme="minorEastAsia"/>
                <w:b w:val="0"/>
                <w:bCs w:val="0"/>
                <w:color w:val="auto"/>
                <w:sz w:val="24"/>
                <w:szCs w:val="24"/>
                <w:lang w:val="en-US" w:eastAsia="zh-CN" w:bidi="ar-SA"/>
              </w:rPr>
              <w:t>2020</w:t>
            </w:r>
            <w:r>
              <w:rPr>
                <w:rFonts w:hint="eastAsia" w:ascii="Times New Roman" w:hAnsi="Times New Roman" w:cs="Times New Roman" w:eastAsiaTheme="minorEastAsia"/>
                <w:b w:val="0"/>
                <w:bCs w:val="0"/>
                <w:color w:val="auto"/>
                <w:sz w:val="24"/>
                <w:szCs w:val="24"/>
                <w:lang w:val="en-US" w:eastAsia="zh-CN" w:bidi="ar-SA"/>
              </w:rPr>
              <w:t>〕</w:t>
            </w:r>
            <w:r>
              <w:rPr>
                <w:rFonts w:hint="default" w:ascii="Times New Roman" w:hAnsi="Times New Roman" w:cs="Times New Roman" w:eastAsiaTheme="minorEastAsia"/>
                <w:b w:val="0"/>
                <w:bCs w:val="0"/>
                <w:color w:val="auto"/>
                <w:sz w:val="24"/>
                <w:szCs w:val="24"/>
                <w:lang w:val="en-US" w:eastAsia="zh-CN" w:bidi="ar-SA"/>
              </w:rPr>
              <w:t>688号）</w:t>
            </w:r>
            <w:r>
              <w:rPr>
                <w:rFonts w:hint="eastAsia" w:ascii="Times New Roman" w:hAnsi="Times New Roman" w:cs="Times New Roman" w:eastAsiaTheme="minorEastAsia"/>
                <w:b w:val="0"/>
                <w:bCs w:val="0"/>
                <w:color w:val="auto"/>
                <w:sz w:val="24"/>
                <w:szCs w:val="24"/>
                <w:lang w:val="en-US" w:eastAsia="zh-CN" w:bidi="ar-SA"/>
              </w:rPr>
              <w:t>。</w:t>
            </w:r>
          </w:p>
          <w:p w14:paraId="2C7C6470">
            <w:pPr>
              <w:pStyle w:val="5"/>
              <w:pageBreakBefore w:val="0"/>
              <w:widowControl/>
              <w:kinsoku/>
              <w:wordWrap/>
              <w:overflowPunct/>
              <w:topLinePunct w:val="0"/>
              <w:autoSpaceDE/>
              <w:autoSpaceDN/>
              <w:bidi w:val="0"/>
              <w:adjustRightInd w:val="0"/>
              <w:snapToGrid w:val="0"/>
              <w:spacing w:after="0" w:line="360" w:lineRule="auto"/>
              <w:ind w:left="0" w:firstLine="482" w:firstLineChars="200"/>
              <w:textAlignment w:val="auto"/>
              <w:rPr>
                <w:rFonts w:hint="eastAsia" w:ascii="Times New Roman" w:hAnsi="Times New Roman" w:cs="Times New Roman" w:eastAsiaTheme="minorEastAsia"/>
                <w:b/>
                <w:bCs/>
                <w:color w:val="auto"/>
                <w:sz w:val="24"/>
                <w:szCs w:val="24"/>
                <w:lang w:val="en-US" w:eastAsia="zh-CN" w:bidi="ar-SA"/>
              </w:rPr>
            </w:pPr>
            <w:bookmarkStart w:id="11" w:name="_Toc24656"/>
            <w:r>
              <w:rPr>
                <w:rFonts w:hint="eastAsia" w:cs="Times New Roman" w:eastAsiaTheme="minorEastAsia"/>
                <w:b/>
                <w:bCs/>
                <w:color w:val="auto"/>
                <w:sz w:val="24"/>
                <w:szCs w:val="24"/>
                <w:lang w:val="en-US" w:eastAsia="zh-CN" w:bidi="ar-SA"/>
              </w:rPr>
              <w:t>2.</w:t>
            </w:r>
            <w:r>
              <w:rPr>
                <w:rFonts w:hint="eastAsia" w:ascii="Times New Roman" w:hAnsi="Times New Roman" w:cs="Times New Roman" w:eastAsiaTheme="minorEastAsia"/>
                <w:b/>
                <w:bCs/>
                <w:color w:val="auto"/>
                <w:sz w:val="24"/>
                <w:szCs w:val="24"/>
                <w:lang w:val="en-US" w:eastAsia="zh-CN" w:bidi="ar-SA"/>
              </w:rPr>
              <w:t>验收依据的有关项目文件及资料</w:t>
            </w:r>
            <w:bookmarkEnd w:id="11"/>
          </w:p>
          <w:p w14:paraId="39C08A12">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（1）《黄山市航瑞新材料有限公司年产1.2亿平方米PVC保护膜项目环境影响报告表》（</w:t>
            </w:r>
            <w:r>
              <w:rPr>
                <w:rFonts w:hint="default" w:ascii="Times New Roman" w:hAnsi="Times New Roman" w:cs="Times New Roman" w:eastAsiaTheme="minorEastAsia"/>
                <w:color w:val="auto"/>
                <w:sz w:val="24"/>
                <w:szCs w:val="24"/>
                <w:lang w:val="en-US" w:eastAsia="zh-CN"/>
              </w:rPr>
              <w:t>安徽国恩环境工程有限公司</w:t>
            </w:r>
            <w:r>
              <w:rPr>
                <w:rFonts w:hint="eastAsia" w:ascii="Times New Roman" w:hAnsi="Times New Roman" w:cs="Times New Roman" w:eastAsiaTheme="minorEastAsia"/>
                <w:b w:val="0"/>
                <w:bCs w:val="0"/>
                <w:color w:val="auto"/>
                <w:sz w:val="24"/>
                <w:szCs w:val="24"/>
                <w:lang w:val="en-US" w:eastAsia="zh-CN" w:bidi="ar-SA"/>
              </w:rPr>
              <w:t>，2021年11月）；</w:t>
            </w:r>
          </w:p>
          <w:p w14:paraId="135CEC4A">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（2）《关于黄山市航瑞新材料有限公司年产1.2亿平方米PVC保护膜项目环境影响报告表的批复》（歙环字〔2021〕110号，2021年11月12日）；</w:t>
            </w:r>
          </w:p>
          <w:p w14:paraId="700A5F2F">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b w:val="0"/>
                <w:bCs w:val="0"/>
                <w:color w:val="auto"/>
                <w:sz w:val="24"/>
                <w:szCs w:val="24"/>
                <w:lang w:val="en-US" w:eastAsia="zh-CN" w:bidi="ar-SA"/>
              </w:rPr>
              <w:t>（3）黄山市航瑞新材料有限公司提供的其他有关资料。</w:t>
            </w:r>
          </w:p>
        </w:tc>
      </w:tr>
      <w:tr w14:paraId="1E20AD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73" w:type="dxa"/>
            <w:noWrap w:val="0"/>
            <w:vAlign w:val="center"/>
          </w:tcPr>
          <w:p w14:paraId="3843812C">
            <w:pPr>
              <w:spacing w:after="0" w:afterLines="0"/>
              <w:rPr>
                <w:rFonts w:hint="default" w:ascii="Times New Roman" w:hAnsi="Times New Roman" w:cs="Times New Roman" w:eastAsiaTheme="minorEastAsia"/>
                <w:color w:val="FF0000"/>
                <w:sz w:val="24"/>
                <w:szCs w:val="24"/>
              </w:rPr>
            </w:pPr>
            <w:r>
              <w:rPr>
                <w:rFonts w:hint="default" w:ascii="Times New Roman" w:hAnsi="Times New Roman" w:cs="Times New Roman" w:eastAsiaTheme="minorEastAsia"/>
                <w:color w:val="000000" w:themeColor="text1"/>
                <w:sz w:val="24"/>
                <w:szCs w:val="24"/>
                <w14:textFill>
                  <w14:solidFill>
                    <w14:schemeClr w14:val="tx1"/>
                  </w14:solidFill>
                </w14:textFill>
              </w:rPr>
              <w:t>验收监测评价标准、标号、级别、限值</w:t>
            </w:r>
          </w:p>
        </w:tc>
        <w:tc>
          <w:tcPr>
            <w:tcW w:w="7251" w:type="dxa"/>
            <w:gridSpan w:val="5"/>
            <w:noWrap w:val="0"/>
            <w:vAlign w:val="center"/>
          </w:tcPr>
          <w:p w14:paraId="4A8A5ED8">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both"/>
              <w:textAlignment w:val="auto"/>
              <w:rPr>
                <w:rFonts w:hint="default" w:ascii="Times New Roman" w:hAnsi="Times New Roman" w:cs="Times New Roman" w:eastAsiaTheme="minorEastAsia"/>
                <w:b/>
                <w:bCs/>
                <w:color w:val="auto"/>
                <w:sz w:val="24"/>
                <w:szCs w:val="24"/>
                <w:lang w:val="en-US" w:eastAsia="zh-CN" w:bidi="ar-SA"/>
              </w:rPr>
            </w:pPr>
            <w:r>
              <w:rPr>
                <w:rFonts w:hint="eastAsia" w:ascii="Times New Roman" w:hAnsi="Times New Roman" w:cs="Times New Roman" w:eastAsiaTheme="minorEastAsia"/>
                <w:b/>
                <w:bCs/>
                <w:color w:val="auto"/>
                <w:sz w:val="24"/>
                <w:szCs w:val="24"/>
                <w:lang w:val="en-US" w:eastAsia="zh-CN" w:bidi="ar-SA"/>
              </w:rPr>
              <w:t>1.</w:t>
            </w:r>
            <w:r>
              <w:rPr>
                <w:rFonts w:hint="default" w:ascii="Times New Roman" w:hAnsi="Times New Roman" w:cs="Times New Roman" w:eastAsiaTheme="minorEastAsia"/>
                <w:b/>
                <w:bCs/>
                <w:color w:val="auto"/>
                <w:sz w:val="24"/>
                <w:szCs w:val="24"/>
                <w:lang w:val="en-US" w:eastAsia="zh-CN" w:bidi="ar-SA"/>
              </w:rPr>
              <w:t>废水排放标准</w:t>
            </w:r>
          </w:p>
          <w:p w14:paraId="65AA7798">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仿宋" w:hAnsi="仿宋" w:eastAsia="仿宋" w:cs="仿宋"/>
                <w:color w:val="auto"/>
                <w:sz w:val="24"/>
                <w:szCs w:val="24"/>
                <w:lang w:eastAsia="zh-CN"/>
              </w:rPr>
            </w:pPr>
            <w:r>
              <w:rPr>
                <w:rFonts w:hint="eastAsia" w:ascii="Times New Roman" w:hAnsi="Times New Roman" w:cs="Times New Roman" w:eastAsiaTheme="minorEastAsia"/>
                <w:b w:val="0"/>
                <w:bCs w:val="0"/>
                <w:color w:val="auto"/>
                <w:sz w:val="24"/>
                <w:szCs w:val="24"/>
                <w:lang w:val="en-US" w:eastAsia="zh-CN" w:bidi="ar-SA"/>
              </w:rPr>
              <w:t>项目（现阶段）仅排放生活污水，废水排放执行歙县循环经济园区污水处理厂接管标准。生活污水经化粪池处理后通过园区污水管网送歙县循环经济园区污水处理厂（鼎元污水处理有限公司）处理达标后进入歙县污水处理厂</w:t>
            </w:r>
            <w:r>
              <w:rPr>
                <w:rFonts w:hint="eastAsia" w:ascii="仿宋" w:hAnsi="仿宋" w:eastAsia="仿宋" w:cs="仿宋"/>
                <w:color w:val="auto"/>
                <w:sz w:val="24"/>
                <w:szCs w:val="24"/>
                <w:lang w:val="en-US" w:eastAsia="zh-CN"/>
              </w:rPr>
              <w:t>。</w:t>
            </w:r>
          </w:p>
          <w:p w14:paraId="668880D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表1-1 废水排放标准限</w:t>
            </w:r>
            <w:r>
              <w:rPr>
                <w:rFonts w:hint="default" w:ascii="Times New Roman" w:hAnsi="Times New Roman" w:eastAsia="宋体" w:cs="Times New Roman"/>
                <w:b/>
                <w:bCs/>
                <w:color w:val="auto"/>
                <w:sz w:val="21"/>
                <w:szCs w:val="21"/>
                <w:lang w:val="en-US" w:eastAsia="zh-CN"/>
              </w:rPr>
              <w:t>值</w:t>
            </w:r>
            <w:r>
              <w:rPr>
                <w:rFonts w:hint="default" w:ascii="Times New Roman" w:hAnsi="Times New Roman" w:eastAsia="宋体" w:cs="Times New Roman"/>
                <w:b/>
                <w:bCs/>
                <w:color w:val="auto"/>
                <w:sz w:val="21"/>
                <w:szCs w:val="21"/>
              </w:rPr>
              <w:t>一览表</w:t>
            </w:r>
          </w:p>
          <w:tbl>
            <w:tblPr>
              <w:tblStyle w:val="20"/>
              <w:tblW w:w="4997" w:type="pct"/>
              <w:tblInd w:w="0" w:type="dxa"/>
              <w:tblBorders>
                <w:top w:val="single" w:color="auto" w:sz="12" w:space="0"/>
                <w:left w:val="none" w:color="auto" w:sz="0" w:space="0"/>
                <w:bottom w:val="single" w:color="auto" w:sz="12" w:space="0"/>
                <w:right w:val="none" w:color="auto" w:sz="0"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63"/>
              <w:gridCol w:w="1090"/>
              <w:gridCol w:w="1269"/>
              <w:gridCol w:w="3309"/>
            </w:tblGrid>
            <w:tr w14:paraId="70DA18A3">
              <w:tblPrEx>
                <w:tblBorders>
                  <w:top w:val="single" w:color="auto" w:sz="12" w:space="0"/>
                  <w:left w:val="none" w:color="auto" w:sz="0" w:space="0"/>
                  <w:bottom w:val="single" w:color="auto"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3" w:hRule="atLeast"/>
              </w:trPr>
              <w:tc>
                <w:tcPr>
                  <w:tcW w:w="969" w:type="pct"/>
                  <w:tcBorders>
                    <w:tl2br w:val="nil"/>
                    <w:tr2bl w:val="nil"/>
                  </w:tcBorders>
                  <w:vAlign w:val="center"/>
                </w:tcPr>
                <w:p w14:paraId="4D5C219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污染物指标</w:t>
                  </w:r>
                </w:p>
              </w:tc>
              <w:tc>
                <w:tcPr>
                  <w:tcW w:w="775" w:type="pct"/>
                  <w:tcBorders>
                    <w:tl2br w:val="nil"/>
                    <w:tr2bl w:val="nil"/>
                  </w:tcBorders>
                  <w:vAlign w:val="center"/>
                </w:tcPr>
                <w:p w14:paraId="4E27AA2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单位</w:t>
                  </w:r>
                </w:p>
              </w:tc>
              <w:tc>
                <w:tcPr>
                  <w:tcW w:w="902" w:type="pct"/>
                  <w:tcBorders>
                    <w:tl2br w:val="nil"/>
                    <w:tr2bl w:val="nil"/>
                  </w:tcBorders>
                  <w:vAlign w:val="center"/>
                </w:tcPr>
                <w:p w14:paraId="62413FE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标准</w:t>
                  </w:r>
                </w:p>
                <w:p w14:paraId="4D355CA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限制</w:t>
                  </w:r>
                </w:p>
              </w:tc>
              <w:tc>
                <w:tcPr>
                  <w:tcW w:w="2353" w:type="pct"/>
                  <w:tcBorders>
                    <w:tl2br w:val="nil"/>
                    <w:tr2bl w:val="nil"/>
                  </w:tcBorders>
                  <w:shd w:val="clear" w:color="auto" w:fill="auto"/>
                  <w:vAlign w:val="center"/>
                </w:tcPr>
                <w:p w14:paraId="72382E2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bidi="ar-SA"/>
                    </w:rPr>
                  </w:pPr>
                  <w:r>
                    <w:rPr>
                      <w:rFonts w:hint="default" w:ascii="Times New Roman" w:hAnsi="Times New Roman" w:eastAsia="宋体" w:cs="Times New Roman"/>
                      <w:b/>
                      <w:bCs/>
                      <w:color w:val="auto"/>
                      <w:sz w:val="21"/>
                      <w:szCs w:val="21"/>
                    </w:rPr>
                    <w:t>执行标准</w:t>
                  </w:r>
                </w:p>
              </w:tc>
            </w:tr>
            <w:tr w14:paraId="67BC49E7">
              <w:tblPrEx>
                <w:tblBorders>
                  <w:top w:val="single" w:color="auto" w:sz="12" w:space="0"/>
                  <w:left w:val="none" w:color="auto" w:sz="0" w:space="0"/>
                  <w:bottom w:val="single" w:color="auto"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53" w:hRule="atLeast"/>
              </w:trPr>
              <w:tc>
                <w:tcPr>
                  <w:tcW w:w="969" w:type="pct"/>
                  <w:tcBorders>
                    <w:tl2br w:val="nil"/>
                    <w:tr2bl w:val="nil"/>
                  </w:tcBorders>
                  <w:vAlign w:val="center"/>
                </w:tcPr>
                <w:p w14:paraId="0360CD6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ascii="Times New Roman" w:hAnsi="Times New Roman"/>
                      <w:bCs/>
                      <w:color w:val="auto"/>
                      <w:szCs w:val="21"/>
                    </w:rPr>
                    <w:t>pH</w:t>
                  </w:r>
                </w:p>
              </w:tc>
              <w:tc>
                <w:tcPr>
                  <w:tcW w:w="775" w:type="pct"/>
                  <w:tcBorders>
                    <w:tl2br w:val="nil"/>
                    <w:tr2bl w:val="nil"/>
                  </w:tcBorders>
                  <w:vAlign w:val="center"/>
                </w:tcPr>
                <w:p w14:paraId="1D791BF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无量纲</w:t>
                  </w:r>
                </w:p>
              </w:tc>
              <w:tc>
                <w:tcPr>
                  <w:tcW w:w="902" w:type="pct"/>
                  <w:tcBorders>
                    <w:tl2br w:val="nil"/>
                    <w:tr2bl w:val="nil"/>
                  </w:tcBorders>
                  <w:vAlign w:val="center"/>
                </w:tcPr>
                <w:p w14:paraId="36ECAE3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6～9</w:t>
                  </w:r>
                </w:p>
              </w:tc>
              <w:tc>
                <w:tcPr>
                  <w:tcW w:w="2353" w:type="pct"/>
                  <w:vMerge w:val="restart"/>
                  <w:tcBorders>
                    <w:tl2br w:val="nil"/>
                    <w:tr2bl w:val="nil"/>
                  </w:tcBorders>
                  <w:shd w:val="clear" w:color="auto" w:fill="auto"/>
                  <w:vAlign w:val="center"/>
                </w:tcPr>
                <w:p w14:paraId="02FB15B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000000" w:themeColor="text1"/>
                      <w:sz w:val="21"/>
                      <w:szCs w:val="21"/>
                      <w14:textFill>
                        <w14:solidFill>
                          <w14:schemeClr w14:val="tx1"/>
                        </w14:solidFill>
                      </w14:textFill>
                    </w:rPr>
                    <w:t>歙县循环经济园区污水处理厂（鼎元污水处理有限公司）接管标准</w:t>
                  </w:r>
                </w:p>
              </w:tc>
            </w:tr>
            <w:tr w14:paraId="068B3053">
              <w:tblPrEx>
                <w:tblBorders>
                  <w:top w:val="single" w:color="auto" w:sz="12" w:space="0"/>
                  <w:left w:val="none" w:color="auto" w:sz="0" w:space="0"/>
                  <w:bottom w:val="single" w:color="auto"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9" w:hRule="atLeast"/>
              </w:trPr>
              <w:tc>
                <w:tcPr>
                  <w:tcW w:w="969" w:type="pct"/>
                  <w:tcBorders>
                    <w:tl2br w:val="nil"/>
                    <w:tr2bl w:val="nil"/>
                  </w:tcBorders>
                  <w:vAlign w:val="center"/>
                </w:tcPr>
                <w:p w14:paraId="12114EC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vertAlign w:val="subscript"/>
                    </w:rPr>
                  </w:pPr>
                  <w:r>
                    <w:rPr>
                      <w:rFonts w:ascii="Times New Roman" w:hAnsi="Times New Roman"/>
                      <w:bCs/>
                      <w:color w:val="auto"/>
                      <w:szCs w:val="21"/>
                    </w:rPr>
                    <w:t>BOD</w:t>
                  </w:r>
                  <w:r>
                    <w:rPr>
                      <w:rFonts w:ascii="Times New Roman" w:hAnsi="Times New Roman"/>
                      <w:bCs/>
                      <w:color w:val="auto"/>
                      <w:szCs w:val="21"/>
                      <w:vertAlign w:val="subscript"/>
                    </w:rPr>
                    <w:t>5</w:t>
                  </w:r>
                </w:p>
              </w:tc>
              <w:tc>
                <w:tcPr>
                  <w:tcW w:w="775" w:type="pct"/>
                  <w:vMerge w:val="restart"/>
                  <w:tcBorders>
                    <w:tl2br w:val="nil"/>
                    <w:tr2bl w:val="nil"/>
                  </w:tcBorders>
                  <w:vAlign w:val="center"/>
                </w:tcPr>
                <w:p w14:paraId="7B1B9C1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mg/L</w:t>
                  </w:r>
                </w:p>
              </w:tc>
              <w:tc>
                <w:tcPr>
                  <w:tcW w:w="902" w:type="pct"/>
                  <w:tcBorders>
                    <w:tl2br w:val="nil"/>
                    <w:tr2bl w:val="nil"/>
                  </w:tcBorders>
                  <w:vAlign w:val="center"/>
                </w:tcPr>
                <w:p w14:paraId="5FDB541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bCs/>
                      <w:color w:val="auto"/>
                      <w:szCs w:val="21"/>
                      <w:highlight w:val="none"/>
                      <w:lang w:val="en-US" w:eastAsia="zh-CN"/>
                    </w:rPr>
                    <w:t>900</w:t>
                  </w:r>
                </w:p>
              </w:tc>
              <w:tc>
                <w:tcPr>
                  <w:tcW w:w="2353" w:type="pct"/>
                  <w:vMerge w:val="continue"/>
                  <w:tcBorders>
                    <w:tl2br w:val="nil"/>
                    <w:tr2bl w:val="nil"/>
                  </w:tcBorders>
                  <w:vAlign w:val="center"/>
                </w:tcPr>
                <w:p w14:paraId="65876F5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bCs/>
                      <w:color w:val="auto"/>
                      <w:szCs w:val="21"/>
                      <w:lang w:val="en-US" w:eastAsia="zh-CN"/>
                    </w:rPr>
                  </w:pPr>
                </w:p>
              </w:tc>
            </w:tr>
            <w:tr w14:paraId="48B48954">
              <w:tblPrEx>
                <w:tblBorders>
                  <w:top w:val="single" w:color="auto" w:sz="12" w:space="0"/>
                  <w:left w:val="none" w:color="auto" w:sz="0" w:space="0"/>
                  <w:bottom w:val="single" w:color="auto"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0" w:hRule="atLeast"/>
              </w:trPr>
              <w:tc>
                <w:tcPr>
                  <w:tcW w:w="969" w:type="pct"/>
                  <w:tcBorders>
                    <w:tl2br w:val="nil"/>
                    <w:tr2bl w:val="nil"/>
                  </w:tcBorders>
                  <w:vAlign w:val="center"/>
                </w:tcPr>
                <w:p w14:paraId="3A45276A">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rPr>
                  </w:pPr>
                  <w:r>
                    <w:rPr>
                      <w:rFonts w:ascii="Times New Roman" w:hAnsi="Times New Roman"/>
                      <w:bCs/>
                      <w:color w:val="auto"/>
                      <w:szCs w:val="21"/>
                    </w:rPr>
                    <w:t>COD</w:t>
                  </w:r>
                </w:p>
              </w:tc>
              <w:tc>
                <w:tcPr>
                  <w:tcW w:w="775" w:type="pct"/>
                  <w:vMerge w:val="continue"/>
                  <w:tcBorders>
                    <w:tl2br w:val="nil"/>
                    <w:tr2bl w:val="nil"/>
                  </w:tcBorders>
                  <w:vAlign w:val="center"/>
                </w:tcPr>
                <w:p w14:paraId="76D391C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Change w:id="0" w:author="汪晓晖" w:date="2022-08-04T11:05:56Z">
                        <w:rPr>
                          <w:rFonts w:hint="default" w:ascii="Times New Roman" w:hAnsi="Times New Roman" w:eastAsia="仿宋_GB2312" w:cs="Times New Roman"/>
                          <w:sz w:val="24"/>
                          <w:szCs w:val="24"/>
                        </w:rPr>
                      </w:rPrChange>
                    </w:rPr>
                  </w:pPr>
                </w:p>
              </w:tc>
              <w:tc>
                <w:tcPr>
                  <w:tcW w:w="902" w:type="pct"/>
                  <w:tcBorders>
                    <w:tl2br w:val="nil"/>
                    <w:tr2bl w:val="nil"/>
                  </w:tcBorders>
                  <w:vAlign w:val="center"/>
                </w:tcPr>
                <w:p w14:paraId="378F6F4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yellow"/>
                      <w:lang w:val="en-US"/>
                    </w:rPr>
                  </w:pPr>
                  <w:r>
                    <w:rPr>
                      <w:rFonts w:hint="eastAsia" w:ascii="Times New Roman" w:hAnsi="Times New Roman" w:eastAsia="宋体"/>
                      <w:bCs/>
                      <w:color w:val="auto"/>
                      <w:szCs w:val="21"/>
                      <w:highlight w:val="none"/>
                      <w:lang w:val="en-US" w:eastAsia="zh-CN"/>
                    </w:rPr>
                    <w:t>3000</w:t>
                  </w:r>
                </w:p>
              </w:tc>
              <w:tc>
                <w:tcPr>
                  <w:tcW w:w="2353" w:type="pct"/>
                  <w:vMerge w:val="continue"/>
                  <w:tcBorders>
                    <w:tl2br w:val="nil"/>
                    <w:tr2bl w:val="nil"/>
                  </w:tcBorders>
                  <w:vAlign w:val="center"/>
                </w:tcPr>
                <w:p w14:paraId="20BAA05B">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bCs/>
                      <w:color w:val="auto"/>
                      <w:szCs w:val="21"/>
                      <w:lang w:val="en-US" w:eastAsia="zh-CN"/>
                    </w:rPr>
                  </w:pPr>
                </w:p>
              </w:tc>
            </w:tr>
            <w:tr w14:paraId="6C707F71">
              <w:tblPrEx>
                <w:tblBorders>
                  <w:top w:val="single" w:color="auto" w:sz="12" w:space="0"/>
                  <w:left w:val="none" w:color="auto" w:sz="0" w:space="0"/>
                  <w:bottom w:val="single" w:color="auto"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0" w:hRule="atLeast"/>
              </w:trPr>
              <w:tc>
                <w:tcPr>
                  <w:tcW w:w="969" w:type="pct"/>
                  <w:tcBorders>
                    <w:tl2br w:val="nil"/>
                    <w:tr2bl w:val="nil"/>
                  </w:tcBorders>
                  <w:vAlign w:val="center"/>
                </w:tcPr>
                <w:p w14:paraId="6BA4E3F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lang w:eastAsia="zh-CN"/>
                    </w:rPr>
                  </w:pPr>
                  <w:r>
                    <w:rPr>
                      <w:rFonts w:ascii="Times New Roman" w:hAnsi="Times New Roman"/>
                      <w:bCs/>
                      <w:color w:val="auto"/>
                      <w:szCs w:val="21"/>
                    </w:rPr>
                    <w:t>NH</w:t>
                  </w:r>
                  <w:r>
                    <w:rPr>
                      <w:rFonts w:ascii="Times New Roman" w:hAnsi="Times New Roman"/>
                      <w:bCs/>
                      <w:color w:val="auto"/>
                      <w:szCs w:val="21"/>
                      <w:vertAlign w:val="subscript"/>
                    </w:rPr>
                    <w:t>3</w:t>
                  </w:r>
                  <w:r>
                    <w:rPr>
                      <w:rFonts w:ascii="Times New Roman" w:hAnsi="Times New Roman"/>
                      <w:bCs/>
                      <w:color w:val="auto"/>
                      <w:szCs w:val="21"/>
                    </w:rPr>
                    <w:t>-N</w:t>
                  </w:r>
                </w:p>
              </w:tc>
              <w:tc>
                <w:tcPr>
                  <w:tcW w:w="775" w:type="pct"/>
                  <w:vMerge w:val="continue"/>
                  <w:tcBorders>
                    <w:tl2br w:val="nil"/>
                    <w:tr2bl w:val="nil"/>
                  </w:tcBorders>
                  <w:vAlign w:val="center"/>
                </w:tcPr>
                <w:p w14:paraId="4BF8163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Change w:id="1" w:author="汪晓晖" w:date="2022-08-04T11:05:56Z">
                        <w:rPr>
                          <w:rFonts w:hint="default" w:ascii="Times New Roman" w:hAnsi="Times New Roman" w:eastAsia="仿宋_GB2312" w:cs="Times New Roman"/>
                          <w:sz w:val="24"/>
                          <w:szCs w:val="24"/>
                        </w:rPr>
                      </w:rPrChange>
                    </w:rPr>
                  </w:pPr>
                </w:p>
              </w:tc>
              <w:tc>
                <w:tcPr>
                  <w:tcW w:w="902" w:type="pct"/>
                  <w:tcBorders>
                    <w:tl2br w:val="nil"/>
                    <w:tr2bl w:val="nil"/>
                  </w:tcBorders>
                  <w:vAlign w:val="center"/>
                </w:tcPr>
                <w:p w14:paraId="0EF59AD7">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yellow"/>
                      <w:lang w:val="en-US" w:eastAsia="zh-CN"/>
                    </w:rPr>
                  </w:pPr>
                  <w:r>
                    <w:rPr>
                      <w:rFonts w:hint="eastAsia" w:ascii="Times New Roman" w:hAnsi="Times New Roman" w:eastAsia="宋体"/>
                      <w:bCs/>
                      <w:color w:val="auto"/>
                      <w:szCs w:val="21"/>
                      <w:highlight w:val="none"/>
                      <w:lang w:val="en-US" w:eastAsia="zh-CN"/>
                    </w:rPr>
                    <w:t>100</w:t>
                  </w:r>
                </w:p>
              </w:tc>
              <w:tc>
                <w:tcPr>
                  <w:tcW w:w="2353" w:type="pct"/>
                  <w:vMerge w:val="continue"/>
                  <w:tcBorders>
                    <w:tl2br w:val="nil"/>
                    <w:tr2bl w:val="nil"/>
                  </w:tcBorders>
                  <w:vAlign w:val="center"/>
                </w:tcPr>
                <w:p w14:paraId="515D0BD2">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bCs/>
                      <w:color w:val="auto"/>
                      <w:szCs w:val="21"/>
                      <w:lang w:val="en-US" w:eastAsia="zh-CN"/>
                    </w:rPr>
                  </w:pPr>
                </w:p>
              </w:tc>
            </w:tr>
            <w:tr w14:paraId="0D246EA4">
              <w:tblPrEx>
                <w:tblBorders>
                  <w:top w:val="single" w:color="auto" w:sz="12" w:space="0"/>
                  <w:left w:val="none" w:color="auto" w:sz="0" w:space="0"/>
                  <w:bottom w:val="single" w:color="auto"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0" w:hRule="atLeast"/>
              </w:trPr>
              <w:tc>
                <w:tcPr>
                  <w:tcW w:w="969" w:type="pct"/>
                  <w:tcBorders>
                    <w:tl2br w:val="nil"/>
                    <w:tr2bl w:val="nil"/>
                  </w:tcBorders>
                  <w:vAlign w:val="center"/>
                </w:tcPr>
                <w:p w14:paraId="3147CA6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kern w:val="2"/>
                      <w:sz w:val="21"/>
                      <w:szCs w:val="21"/>
                    </w:rPr>
                  </w:pPr>
                  <w:r>
                    <w:rPr>
                      <w:rFonts w:ascii="Times New Roman" w:hAnsi="Times New Roman"/>
                      <w:bCs/>
                      <w:color w:val="auto"/>
                      <w:szCs w:val="21"/>
                    </w:rPr>
                    <w:t>SS</w:t>
                  </w:r>
                </w:p>
              </w:tc>
              <w:tc>
                <w:tcPr>
                  <w:tcW w:w="775" w:type="pct"/>
                  <w:vMerge w:val="continue"/>
                  <w:tcBorders>
                    <w:tl2br w:val="nil"/>
                    <w:tr2bl w:val="nil"/>
                  </w:tcBorders>
                  <w:vAlign w:val="center"/>
                </w:tcPr>
                <w:p w14:paraId="53744D8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p>
              </w:tc>
              <w:tc>
                <w:tcPr>
                  <w:tcW w:w="902" w:type="pct"/>
                  <w:tcBorders>
                    <w:tl2br w:val="nil"/>
                    <w:tr2bl w:val="nil"/>
                  </w:tcBorders>
                  <w:vAlign w:val="center"/>
                </w:tcPr>
                <w:p w14:paraId="2F302E0F">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highlight w:val="yellow"/>
                      <w:lang w:val="en-US" w:eastAsia="zh-CN"/>
                    </w:rPr>
                  </w:pPr>
                  <w:r>
                    <w:rPr>
                      <w:rFonts w:hint="eastAsia" w:ascii="Times New Roman" w:hAnsi="Times New Roman" w:eastAsia="宋体"/>
                      <w:bCs/>
                      <w:color w:val="auto"/>
                      <w:szCs w:val="21"/>
                      <w:highlight w:val="none"/>
                      <w:lang w:val="en-US" w:eastAsia="zh-CN"/>
                    </w:rPr>
                    <w:t>500</w:t>
                  </w:r>
                </w:p>
              </w:tc>
              <w:tc>
                <w:tcPr>
                  <w:tcW w:w="2353" w:type="pct"/>
                  <w:vMerge w:val="continue"/>
                  <w:tcBorders>
                    <w:tl2br w:val="nil"/>
                    <w:tr2bl w:val="nil"/>
                  </w:tcBorders>
                  <w:vAlign w:val="center"/>
                </w:tcPr>
                <w:p w14:paraId="06C726E4">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ascii="Times New Roman" w:hAnsi="Times New Roman" w:eastAsia="宋体"/>
                      <w:bCs/>
                      <w:color w:val="auto"/>
                      <w:szCs w:val="21"/>
                      <w:lang w:val="en-US" w:eastAsia="zh-CN"/>
                    </w:rPr>
                  </w:pPr>
                </w:p>
              </w:tc>
            </w:tr>
          </w:tbl>
          <w:p w14:paraId="1D3BCFDF">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both"/>
              <w:textAlignment w:val="auto"/>
              <w:rPr>
                <w:rFonts w:hint="default" w:ascii="Times New Roman" w:hAnsi="Times New Roman" w:cs="Times New Roman" w:eastAsiaTheme="minorEastAsia"/>
                <w:b/>
                <w:bCs/>
                <w:color w:val="auto"/>
                <w:sz w:val="24"/>
                <w:szCs w:val="24"/>
                <w:lang w:val="en-US" w:eastAsia="zh-CN" w:bidi="ar-SA"/>
              </w:rPr>
            </w:pPr>
            <w:r>
              <w:rPr>
                <w:rFonts w:hint="eastAsia" w:ascii="Times New Roman" w:hAnsi="Times New Roman" w:cs="Times New Roman" w:eastAsiaTheme="minorEastAsia"/>
                <w:b/>
                <w:bCs/>
                <w:color w:val="auto"/>
                <w:sz w:val="24"/>
                <w:szCs w:val="24"/>
                <w:lang w:val="en-US" w:eastAsia="zh-CN" w:bidi="ar-SA"/>
              </w:rPr>
              <w:t>2.</w:t>
            </w:r>
            <w:r>
              <w:rPr>
                <w:rFonts w:hint="default" w:ascii="Times New Roman" w:hAnsi="Times New Roman" w:cs="Times New Roman" w:eastAsiaTheme="minorEastAsia"/>
                <w:b/>
                <w:bCs/>
                <w:color w:val="auto"/>
                <w:sz w:val="24"/>
                <w:szCs w:val="24"/>
                <w:lang w:val="en-US" w:eastAsia="zh-CN" w:bidi="ar-SA"/>
              </w:rPr>
              <w:t>废气排放标准</w:t>
            </w:r>
          </w:p>
          <w:p w14:paraId="22EE0CB2">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lef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3"/>
                <w:sz w:val="24"/>
                <w:szCs w:val="24"/>
              </w:rPr>
              <w:t>项目运营期废气排放执行</w:t>
            </w:r>
            <w:r>
              <w:rPr>
                <w:rFonts w:hint="default" w:ascii="Times New Roman" w:hAnsi="Times New Roman" w:eastAsia="宋体" w:cs="Times New Roman"/>
                <w:color w:val="000000" w:themeColor="text1"/>
                <w:kern w:val="3"/>
                <w:sz w:val="24"/>
                <w:szCs w:val="24"/>
                <w14:textFill>
                  <w14:solidFill>
                    <w14:schemeClr w14:val="tx1"/>
                  </w14:solidFill>
                </w14:textFill>
              </w:rPr>
              <w:t>《大气污染物综合排放标准》(GB16297-1996）表2中二级标准及无组织排放监控浓度限值；厂区内非甲烷总烃排放执行《挥发性有机物无组织排放控制标准》(GB37822-2019)中表A.1规定的限值。</w:t>
            </w:r>
            <w:r>
              <w:rPr>
                <w:rFonts w:hint="default" w:ascii="Times New Roman" w:hAnsi="Times New Roman" w:eastAsia="宋体" w:cs="Times New Roman"/>
                <w:color w:val="auto"/>
                <w:kern w:val="3"/>
                <w:sz w:val="24"/>
                <w:szCs w:val="24"/>
              </w:rPr>
              <w:t>具体标准限值见下表。</w:t>
            </w:r>
          </w:p>
          <w:p w14:paraId="128B0D9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eastAsiaTheme="minorEastAsia"/>
                <w:b/>
                <w:bCs/>
                <w:color w:val="auto"/>
                <w:sz w:val="21"/>
                <w:szCs w:val="21"/>
                <w:lang w:val="en-US" w:eastAsia="zh-CN" w:bidi="ar-SA"/>
              </w:rPr>
            </w:pPr>
            <w:r>
              <w:rPr>
                <w:rFonts w:hint="default" w:ascii="Times New Roman" w:hAnsi="Times New Roman" w:cs="Times New Roman" w:eastAsiaTheme="minorEastAsia"/>
                <w:b/>
                <w:bCs/>
                <w:color w:val="auto"/>
                <w:sz w:val="21"/>
                <w:szCs w:val="21"/>
                <w:lang w:val="en-US" w:eastAsia="zh-CN" w:bidi="ar-SA"/>
              </w:rPr>
              <w:t>表</w:t>
            </w:r>
            <w:r>
              <w:rPr>
                <w:rFonts w:hint="eastAsia" w:ascii="Times New Roman" w:hAnsi="Times New Roman" w:cs="Times New Roman" w:eastAsiaTheme="minorEastAsia"/>
                <w:b/>
                <w:bCs/>
                <w:color w:val="auto"/>
                <w:sz w:val="21"/>
                <w:szCs w:val="21"/>
                <w:lang w:val="en-US" w:eastAsia="zh-CN" w:bidi="ar-SA"/>
              </w:rPr>
              <w:t>1-2 有组织废气排放执行标准</w:t>
            </w:r>
          </w:p>
          <w:tbl>
            <w:tblPr>
              <w:tblStyle w:val="19"/>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984"/>
              <w:gridCol w:w="1219"/>
              <w:gridCol w:w="856"/>
              <w:gridCol w:w="1167"/>
              <w:gridCol w:w="1944"/>
            </w:tblGrid>
            <w:tr w14:paraId="441E3A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5" w:type="pct"/>
                  <w:tcBorders>
                    <w:tl2br w:val="nil"/>
                    <w:tr2bl w:val="nil"/>
                  </w:tcBorders>
                  <w:shd w:val="clear" w:color="auto" w:fill="auto"/>
                  <w:vAlign w:val="center"/>
                </w:tcPr>
                <w:p w14:paraId="6D114DDA">
                  <w:pPr>
                    <w:keepNext w:val="0"/>
                    <w:keepLines w:val="0"/>
                    <w:pageBreakBefore w:val="0"/>
                    <w:widowControl/>
                    <w:kinsoku/>
                    <w:wordWrap/>
                    <w:overflowPunct/>
                    <w:topLinePunct w:val="0"/>
                    <w:autoSpaceDE/>
                    <w:autoSpaceDN/>
                    <w:bidi w:val="0"/>
                    <w:adjustRightInd w:val="0"/>
                    <w:snapToGrid w:val="0"/>
                    <w:spacing w:after="0" w:line="240" w:lineRule="auto"/>
                    <w:ind w:left="0" w:firstLine="0" w:firstLineChars="0"/>
                    <w:jc w:val="center"/>
                    <w:textAlignment w:val="auto"/>
                    <w:rPr>
                      <w:rFonts w:hint="default" w:ascii="Times New Roman" w:hAnsi="Times New Roman" w:eastAsia="宋体" w:cs="Times New Roman"/>
                      <w:b/>
                      <w:bCs/>
                      <w:color w:val="auto"/>
                      <w:sz w:val="21"/>
                      <w:szCs w:val="21"/>
                      <w:lang w:val="en-US" w:eastAsia="zh-CN" w:bidi="ar-SA"/>
                    </w:rPr>
                  </w:pPr>
                  <w:r>
                    <w:rPr>
                      <w:rFonts w:hint="default" w:ascii="Times New Roman" w:hAnsi="Times New Roman" w:eastAsia="宋体" w:cs="Times New Roman"/>
                      <w:b/>
                      <w:bCs/>
                      <w:color w:val="auto"/>
                      <w:sz w:val="21"/>
                      <w:szCs w:val="21"/>
                      <w:lang w:val="en-US" w:eastAsia="zh-CN" w:bidi="ar-SA"/>
                    </w:rPr>
                    <w:t>污染源</w:t>
                  </w:r>
                </w:p>
              </w:tc>
              <w:tc>
                <w:tcPr>
                  <w:tcW w:w="753" w:type="pct"/>
                  <w:tcBorders>
                    <w:tl2br w:val="nil"/>
                    <w:tr2bl w:val="nil"/>
                  </w:tcBorders>
                  <w:shd w:val="clear" w:color="auto" w:fill="auto"/>
                  <w:vAlign w:val="center"/>
                </w:tcPr>
                <w:p w14:paraId="2D98BA6D">
                  <w:pPr>
                    <w:keepNext w:val="0"/>
                    <w:keepLines w:val="0"/>
                    <w:pageBreakBefore w:val="0"/>
                    <w:widowControl/>
                    <w:kinsoku/>
                    <w:wordWrap/>
                    <w:overflowPunct/>
                    <w:topLinePunct w:val="0"/>
                    <w:autoSpaceDE/>
                    <w:autoSpaceDN/>
                    <w:bidi w:val="0"/>
                    <w:adjustRightInd w:val="0"/>
                    <w:snapToGrid w:val="0"/>
                    <w:spacing w:after="0" w:line="240" w:lineRule="auto"/>
                    <w:ind w:left="0" w:firstLine="0" w:firstLineChars="0"/>
                    <w:jc w:val="center"/>
                    <w:textAlignment w:val="auto"/>
                    <w:rPr>
                      <w:rFonts w:hint="default" w:ascii="Times New Roman" w:hAnsi="Times New Roman" w:eastAsia="宋体" w:cs="Times New Roman"/>
                      <w:b/>
                      <w:bCs/>
                      <w:color w:val="auto"/>
                      <w:sz w:val="21"/>
                      <w:szCs w:val="21"/>
                      <w:lang w:val="en-US" w:eastAsia="zh-CN" w:bidi="ar-SA"/>
                    </w:rPr>
                  </w:pPr>
                  <w:r>
                    <w:rPr>
                      <w:rFonts w:hint="default" w:ascii="Times New Roman" w:hAnsi="Times New Roman" w:eastAsia="宋体" w:cs="Times New Roman"/>
                      <w:b/>
                      <w:bCs/>
                      <w:color w:val="auto"/>
                      <w:sz w:val="21"/>
                      <w:szCs w:val="21"/>
                      <w:lang w:val="en-US" w:eastAsia="zh-CN" w:bidi="ar-SA"/>
                    </w:rPr>
                    <w:t>污染物项目</w:t>
                  </w:r>
                </w:p>
              </w:tc>
              <w:tc>
                <w:tcPr>
                  <w:tcW w:w="801" w:type="pct"/>
                  <w:tcBorders>
                    <w:tl2br w:val="nil"/>
                    <w:tr2bl w:val="nil"/>
                  </w:tcBorders>
                  <w:shd w:val="clear" w:color="auto" w:fill="auto"/>
                  <w:vAlign w:val="center"/>
                </w:tcPr>
                <w:p w14:paraId="7004C7AE">
                  <w:pPr>
                    <w:keepNext w:val="0"/>
                    <w:keepLines w:val="0"/>
                    <w:pageBreakBefore w:val="0"/>
                    <w:widowControl/>
                    <w:kinsoku/>
                    <w:wordWrap/>
                    <w:overflowPunct/>
                    <w:topLinePunct w:val="0"/>
                    <w:autoSpaceDE/>
                    <w:autoSpaceDN/>
                    <w:bidi w:val="0"/>
                    <w:adjustRightInd w:val="0"/>
                    <w:snapToGrid w:val="0"/>
                    <w:spacing w:after="0" w:line="240" w:lineRule="auto"/>
                    <w:ind w:left="0" w:firstLine="0" w:firstLineChars="0"/>
                    <w:jc w:val="center"/>
                    <w:textAlignment w:val="auto"/>
                    <w:rPr>
                      <w:rFonts w:hint="default" w:ascii="Times New Roman" w:hAnsi="Times New Roman" w:eastAsia="宋体" w:cs="Times New Roman"/>
                      <w:b/>
                      <w:bCs/>
                      <w:color w:val="auto"/>
                      <w:sz w:val="21"/>
                      <w:szCs w:val="21"/>
                      <w:lang w:val="en-US" w:eastAsia="zh-CN" w:bidi="ar-SA"/>
                    </w:rPr>
                  </w:pPr>
                  <w:r>
                    <w:rPr>
                      <w:rFonts w:hint="default" w:ascii="Times New Roman" w:hAnsi="Times New Roman" w:eastAsia="宋体" w:cs="Times New Roman"/>
                      <w:b/>
                      <w:bCs/>
                      <w:color w:val="auto"/>
                      <w:sz w:val="21"/>
                      <w:szCs w:val="21"/>
                      <w:lang w:val="en-US" w:eastAsia="zh-CN" w:bidi="ar-SA"/>
                    </w:rPr>
                    <w:t>排放限值（mg/m</w:t>
                  </w:r>
                  <w:r>
                    <w:rPr>
                      <w:rFonts w:hint="default" w:ascii="Times New Roman" w:hAnsi="Times New Roman" w:eastAsia="宋体" w:cs="Times New Roman"/>
                      <w:b/>
                      <w:bCs/>
                      <w:color w:val="auto"/>
                      <w:sz w:val="21"/>
                      <w:szCs w:val="21"/>
                      <w:vertAlign w:val="superscript"/>
                      <w:lang w:val="en-US" w:eastAsia="zh-CN" w:bidi="ar-SA"/>
                    </w:rPr>
                    <w:t>3</w:t>
                  </w:r>
                  <w:r>
                    <w:rPr>
                      <w:rFonts w:hint="default" w:ascii="Times New Roman" w:hAnsi="Times New Roman" w:eastAsia="宋体" w:cs="Times New Roman"/>
                      <w:b/>
                      <w:bCs/>
                      <w:color w:val="auto"/>
                      <w:sz w:val="21"/>
                      <w:szCs w:val="21"/>
                      <w:lang w:val="en-US" w:eastAsia="zh-CN" w:bidi="ar-SA"/>
                    </w:rPr>
                    <w:t>）</w:t>
                  </w:r>
                </w:p>
              </w:tc>
              <w:tc>
                <w:tcPr>
                  <w:tcW w:w="662" w:type="pct"/>
                  <w:tcBorders>
                    <w:tl2br w:val="nil"/>
                    <w:tr2bl w:val="nil"/>
                  </w:tcBorders>
                  <w:shd w:val="clear" w:color="auto" w:fill="auto"/>
                  <w:vAlign w:val="center"/>
                </w:tcPr>
                <w:p w14:paraId="03D53C4F">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eastAsia="宋体" w:cs="Times New Roman"/>
                      <w:b/>
                      <w:bCs/>
                      <w:color w:val="auto"/>
                      <w:spacing w:val="0"/>
                      <w:kern w:val="0"/>
                      <w:sz w:val="21"/>
                      <w:szCs w:val="21"/>
                      <w:lang w:val="en-US" w:eastAsia="zh-CN" w:bidi="ar-SA"/>
                    </w:rPr>
                  </w:pPr>
                  <w:r>
                    <w:rPr>
                      <w:rFonts w:hint="default" w:ascii="Times New Roman" w:hAnsi="Times New Roman" w:eastAsia="宋体" w:cs="Times New Roman"/>
                      <w:b/>
                      <w:bCs/>
                      <w:color w:val="auto"/>
                      <w:spacing w:val="0"/>
                      <w:kern w:val="0"/>
                      <w:sz w:val="21"/>
                      <w:szCs w:val="21"/>
                      <w:lang w:val="en-US" w:eastAsia="zh-CN" w:bidi="ar-SA"/>
                    </w:rPr>
                    <w:t>排气筒</w:t>
                  </w:r>
                </w:p>
                <w:p w14:paraId="198B1945">
                  <w:pPr>
                    <w:keepNext w:val="0"/>
                    <w:keepLines w:val="0"/>
                    <w:pageBreakBefore w:val="0"/>
                    <w:widowControl/>
                    <w:kinsoku/>
                    <w:wordWrap/>
                    <w:overflowPunct/>
                    <w:topLinePunct w:val="0"/>
                    <w:autoSpaceDE/>
                    <w:autoSpaceDN/>
                    <w:bidi w:val="0"/>
                    <w:adjustRightInd w:val="0"/>
                    <w:snapToGrid w:val="0"/>
                    <w:spacing w:after="0" w:line="240" w:lineRule="auto"/>
                    <w:ind w:left="0" w:firstLine="0" w:firstLineChars="0"/>
                    <w:jc w:val="center"/>
                    <w:textAlignment w:val="auto"/>
                    <w:rPr>
                      <w:rFonts w:hint="default" w:ascii="Times New Roman" w:hAnsi="Times New Roman" w:eastAsia="宋体" w:cs="Times New Roman"/>
                      <w:b/>
                      <w:bCs/>
                      <w:color w:val="auto"/>
                      <w:spacing w:val="0"/>
                      <w:sz w:val="21"/>
                      <w:szCs w:val="21"/>
                      <w:lang w:val="en-US" w:eastAsia="zh-CN" w:bidi="ar-SA"/>
                    </w:rPr>
                  </w:pPr>
                  <w:r>
                    <w:rPr>
                      <w:rFonts w:hint="default" w:ascii="Times New Roman" w:hAnsi="Times New Roman" w:eastAsia="宋体" w:cs="Times New Roman"/>
                      <w:b/>
                      <w:bCs/>
                      <w:color w:val="auto"/>
                      <w:spacing w:val="0"/>
                      <w:sz w:val="21"/>
                      <w:szCs w:val="21"/>
                      <w:lang w:val="en-US" w:eastAsia="zh-CN" w:bidi="ar-SA"/>
                    </w:rPr>
                    <w:t>高度(m)</w:t>
                  </w:r>
                </w:p>
              </w:tc>
              <w:tc>
                <w:tcPr>
                  <w:tcW w:w="883" w:type="pct"/>
                  <w:tcBorders>
                    <w:tl2br w:val="nil"/>
                    <w:tr2bl w:val="nil"/>
                  </w:tcBorders>
                  <w:shd w:val="clear" w:color="auto" w:fill="auto"/>
                  <w:vAlign w:val="center"/>
                </w:tcPr>
                <w:p w14:paraId="1F606DDB">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eastAsia="宋体" w:cs="Times New Roman"/>
                      <w:b/>
                      <w:bCs/>
                      <w:color w:val="auto"/>
                      <w:spacing w:val="-11"/>
                      <w:kern w:val="0"/>
                      <w:sz w:val="21"/>
                      <w:szCs w:val="21"/>
                      <w:lang w:val="en-US" w:eastAsia="zh-CN" w:bidi="ar-SA"/>
                    </w:rPr>
                  </w:pPr>
                  <w:r>
                    <w:rPr>
                      <w:rFonts w:hint="default" w:ascii="Times New Roman" w:hAnsi="Times New Roman" w:eastAsia="宋体" w:cs="Times New Roman"/>
                      <w:b/>
                      <w:bCs/>
                      <w:color w:val="auto"/>
                      <w:spacing w:val="0"/>
                      <w:kern w:val="0"/>
                      <w:sz w:val="21"/>
                      <w:szCs w:val="21"/>
                      <w:lang w:val="en-US" w:eastAsia="zh-CN" w:bidi="ar-SA"/>
                    </w:rPr>
                    <w:t>最高允许排放速率(kg/h)</w:t>
                  </w:r>
                </w:p>
              </w:tc>
              <w:tc>
                <w:tcPr>
                  <w:tcW w:w="1233" w:type="pct"/>
                  <w:tcBorders>
                    <w:tl2br w:val="nil"/>
                    <w:tr2bl w:val="nil"/>
                  </w:tcBorders>
                  <w:shd w:val="clear" w:color="auto" w:fill="auto"/>
                  <w:vAlign w:val="center"/>
                </w:tcPr>
                <w:p w14:paraId="41475C9C">
                  <w:pPr>
                    <w:keepNext w:val="0"/>
                    <w:keepLines w:val="0"/>
                    <w:pageBreakBefore w:val="0"/>
                    <w:widowControl/>
                    <w:kinsoku/>
                    <w:wordWrap/>
                    <w:overflowPunct/>
                    <w:topLinePunct w:val="0"/>
                    <w:autoSpaceDE/>
                    <w:autoSpaceDN/>
                    <w:bidi w:val="0"/>
                    <w:adjustRightInd w:val="0"/>
                    <w:snapToGrid w:val="0"/>
                    <w:spacing w:after="0" w:line="240" w:lineRule="auto"/>
                    <w:ind w:left="0" w:firstLine="0" w:firstLineChars="0"/>
                    <w:jc w:val="center"/>
                    <w:textAlignment w:val="auto"/>
                    <w:rPr>
                      <w:rFonts w:hint="default" w:ascii="Times New Roman" w:hAnsi="Times New Roman" w:eastAsia="宋体" w:cs="Times New Roman"/>
                      <w:b/>
                      <w:bCs/>
                      <w:color w:val="auto"/>
                      <w:sz w:val="21"/>
                      <w:szCs w:val="21"/>
                      <w:lang w:val="en-US" w:eastAsia="zh-CN" w:bidi="ar-SA"/>
                    </w:rPr>
                  </w:pPr>
                  <w:r>
                    <w:rPr>
                      <w:rFonts w:hint="default" w:ascii="Times New Roman" w:hAnsi="Times New Roman" w:eastAsia="宋体" w:cs="Times New Roman"/>
                      <w:b/>
                      <w:bCs/>
                      <w:color w:val="auto"/>
                      <w:sz w:val="21"/>
                      <w:szCs w:val="21"/>
                      <w:lang w:val="en-US" w:eastAsia="zh-CN" w:bidi="ar-SA"/>
                    </w:rPr>
                    <w:t>执行标准</w:t>
                  </w:r>
                </w:p>
              </w:tc>
            </w:tr>
            <w:tr w14:paraId="7402D6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665" w:type="pct"/>
                  <w:vMerge w:val="restart"/>
                  <w:tcBorders>
                    <w:tl2br w:val="nil"/>
                    <w:tr2bl w:val="nil"/>
                  </w:tcBorders>
                  <w:shd w:val="clear" w:color="auto" w:fill="auto"/>
                  <w:vAlign w:val="center"/>
                </w:tcPr>
                <w:p w14:paraId="478DAEE4">
                  <w:pPr>
                    <w:keepNext w:val="0"/>
                    <w:keepLines w:val="0"/>
                    <w:pageBreakBefore w:val="0"/>
                    <w:widowControl/>
                    <w:kinsoku/>
                    <w:wordWrap/>
                    <w:overflowPunct/>
                    <w:topLinePunct w:val="0"/>
                    <w:autoSpaceDE/>
                    <w:autoSpaceDN/>
                    <w:bidi w:val="0"/>
                    <w:adjustRightInd w:val="0"/>
                    <w:snapToGrid w:val="0"/>
                    <w:spacing w:after="0" w:line="240" w:lineRule="auto"/>
                    <w:ind w:left="0" w:firstLine="0" w:firstLineChars="0"/>
                    <w:jc w:val="center"/>
                    <w:textAlignment w:val="auto"/>
                    <w:rPr>
                      <w:rFonts w:hint="default" w:ascii="Times New Roman" w:hAnsi="Times New Roman" w:eastAsia="宋体" w:cs="Times New Roman"/>
                      <w:b w:val="0"/>
                      <w:bCs w:val="0"/>
                      <w:color w:val="auto"/>
                      <w:sz w:val="21"/>
                      <w:szCs w:val="21"/>
                      <w:lang w:val="en-US" w:eastAsia="zh-CN" w:bidi="ar-SA"/>
                    </w:rPr>
                  </w:pPr>
                  <w:r>
                    <w:rPr>
                      <w:rFonts w:hint="default" w:ascii="Times New Roman" w:hAnsi="Times New Roman" w:eastAsia="宋体" w:cs="Times New Roman"/>
                      <w:b w:val="0"/>
                      <w:bCs w:val="0"/>
                      <w:color w:val="auto"/>
                      <w:sz w:val="21"/>
                      <w:szCs w:val="21"/>
                      <w:lang w:val="en-US" w:eastAsia="zh-CN" w:bidi="ar-SA"/>
                    </w:rPr>
                    <w:t>DA00</w:t>
                  </w:r>
                  <w:r>
                    <w:rPr>
                      <w:rFonts w:hint="eastAsia" w:ascii="Times New Roman" w:hAnsi="Times New Roman" w:eastAsia="宋体" w:cs="Times New Roman"/>
                      <w:b w:val="0"/>
                      <w:bCs w:val="0"/>
                      <w:color w:val="auto"/>
                      <w:sz w:val="21"/>
                      <w:szCs w:val="21"/>
                      <w:lang w:val="en-US" w:eastAsia="zh-CN" w:bidi="ar-SA"/>
                    </w:rPr>
                    <w:t>1</w:t>
                  </w:r>
                </w:p>
              </w:tc>
              <w:tc>
                <w:tcPr>
                  <w:tcW w:w="753" w:type="pct"/>
                  <w:tcBorders>
                    <w:tl2br w:val="nil"/>
                    <w:tr2bl w:val="nil"/>
                  </w:tcBorders>
                  <w:shd w:val="clear" w:color="auto" w:fill="auto"/>
                  <w:vAlign w:val="center"/>
                </w:tcPr>
                <w:p w14:paraId="1931CAF7">
                  <w:pPr>
                    <w:keepNext w:val="0"/>
                    <w:keepLines w:val="0"/>
                    <w:pageBreakBefore w:val="0"/>
                    <w:widowControl/>
                    <w:kinsoku/>
                    <w:wordWrap/>
                    <w:overflowPunct/>
                    <w:topLinePunct w:val="0"/>
                    <w:autoSpaceDE/>
                    <w:autoSpaceDN/>
                    <w:bidi w:val="0"/>
                    <w:adjustRightInd w:val="0"/>
                    <w:snapToGrid w:val="0"/>
                    <w:spacing w:after="0" w:line="240" w:lineRule="auto"/>
                    <w:ind w:left="0" w:firstLine="0" w:firstLineChars="0"/>
                    <w:jc w:val="center"/>
                    <w:textAlignment w:val="auto"/>
                    <w:rPr>
                      <w:rFonts w:hint="default" w:ascii="Times New Roman" w:hAnsi="Times New Roman" w:eastAsia="宋体" w:cs="Times New Roman"/>
                      <w:b w:val="0"/>
                      <w:bCs w:val="0"/>
                      <w:color w:val="auto"/>
                      <w:sz w:val="21"/>
                      <w:szCs w:val="21"/>
                      <w:lang w:val="en-US" w:eastAsia="zh-CN" w:bidi="ar-SA"/>
                    </w:rPr>
                  </w:pPr>
                  <w:r>
                    <w:rPr>
                      <w:rFonts w:hint="default" w:ascii="Times New Roman" w:hAnsi="Times New Roman" w:eastAsia="宋体" w:cs="Times New Roman"/>
                      <w:b w:val="0"/>
                      <w:bCs w:val="0"/>
                      <w:color w:val="auto"/>
                      <w:sz w:val="21"/>
                      <w:szCs w:val="21"/>
                      <w:lang w:val="en-US" w:eastAsia="zh-CN" w:bidi="ar-SA"/>
                    </w:rPr>
                    <w:t>非甲烷总烃</w:t>
                  </w:r>
                </w:p>
              </w:tc>
              <w:tc>
                <w:tcPr>
                  <w:tcW w:w="801" w:type="pct"/>
                  <w:tcBorders>
                    <w:tl2br w:val="nil"/>
                    <w:tr2bl w:val="nil"/>
                  </w:tcBorders>
                  <w:shd w:val="clear" w:color="auto" w:fill="auto"/>
                  <w:vAlign w:val="center"/>
                </w:tcPr>
                <w:p w14:paraId="583341DD">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120</w:t>
                  </w:r>
                </w:p>
              </w:tc>
              <w:tc>
                <w:tcPr>
                  <w:tcW w:w="662" w:type="pct"/>
                  <w:tcBorders>
                    <w:tl2br w:val="nil"/>
                    <w:tr2bl w:val="nil"/>
                  </w:tcBorders>
                  <w:shd w:val="clear" w:color="auto" w:fill="auto"/>
                  <w:vAlign w:val="center"/>
                </w:tcPr>
                <w:p w14:paraId="212CD51C">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15</w:t>
                  </w:r>
                </w:p>
              </w:tc>
              <w:tc>
                <w:tcPr>
                  <w:tcW w:w="883" w:type="pct"/>
                  <w:tcBorders>
                    <w:tl2br w:val="nil"/>
                    <w:tr2bl w:val="nil"/>
                  </w:tcBorders>
                  <w:shd w:val="clear" w:color="auto" w:fill="auto"/>
                  <w:vAlign w:val="center"/>
                </w:tcPr>
                <w:p w14:paraId="4AB36054">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10</w:t>
                  </w:r>
                </w:p>
              </w:tc>
              <w:tc>
                <w:tcPr>
                  <w:tcW w:w="1233" w:type="pct"/>
                  <w:vMerge w:val="restart"/>
                  <w:tcBorders>
                    <w:tl2br w:val="nil"/>
                    <w:tr2bl w:val="nil"/>
                  </w:tcBorders>
                  <w:shd w:val="clear" w:color="auto" w:fill="auto"/>
                  <w:vAlign w:val="center"/>
                </w:tcPr>
                <w:p w14:paraId="1DDD765F">
                  <w:pPr>
                    <w:keepNext w:val="0"/>
                    <w:keepLines w:val="0"/>
                    <w:pageBreakBefore w:val="0"/>
                    <w:widowControl/>
                    <w:kinsoku/>
                    <w:wordWrap/>
                    <w:overflowPunct/>
                    <w:topLinePunct w:val="0"/>
                    <w:autoSpaceDE/>
                    <w:autoSpaceDN/>
                    <w:bidi w:val="0"/>
                    <w:adjustRightInd w:val="0"/>
                    <w:snapToGrid w:val="0"/>
                    <w:spacing w:after="0" w:line="240" w:lineRule="auto"/>
                    <w:ind w:left="0" w:firstLine="0" w:firstLineChars="0"/>
                    <w:jc w:val="center"/>
                    <w:textAlignment w:val="auto"/>
                    <w:rPr>
                      <w:rFonts w:hint="default" w:ascii="Times New Roman" w:hAnsi="Times New Roman" w:eastAsia="宋体" w:cs="Times New Roman"/>
                      <w:b w:val="0"/>
                      <w:bCs w:val="0"/>
                      <w:color w:val="auto"/>
                      <w:sz w:val="21"/>
                      <w:szCs w:val="21"/>
                      <w:lang w:val="en-US" w:eastAsia="zh-CN" w:bidi="ar-SA"/>
                    </w:rPr>
                  </w:pPr>
                  <w:r>
                    <w:rPr>
                      <w:rFonts w:hint="default" w:ascii="Times New Roman" w:hAnsi="Times New Roman" w:eastAsia="宋体" w:cs="Times New Roman"/>
                      <w:b w:val="0"/>
                      <w:bCs w:val="0"/>
                      <w:color w:val="auto"/>
                      <w:sz w:val="21"/>
                      <w:szCs w:val="21"/>
                      <w:lang w:val="en-US" w:eastAsia="zh-CN" w:bidi="ar-SA"/>
                    </w:rPr>
                    <w:t>《大气污染物综合排放标准》（GB16297</w:t>
                  </w:r>
                  <w:r>
                    <w:rPr>
                      <w:rFonts w:hint="eastAsia" w:ascii="Times New Roman" w:hAnsi="Times New Roman" w:eastAsia="宋体" w:cs="Times New Roman"/>
                      <w:b w:val="0"/>
                      <w:bCs w:val="0"/>
                      <w:color w:val="auto"/>
                      <w:sz w:val="21"/>
                      <w:szCs w:val="21"/>
                      <w:lang w:val="en-US" w:eastAsia="zh-CN" w:bidi="ar-SA"/>
                    </w:rPr>
                    <w:t>-</w:t>
                  </w:r>
                  <w:r>
                    <w:rPr>
                      <w:rFonts w:hint="default" w:ascii="Times New Roman" w:hAnsi="Times New Roman" w:eastAsia="宋体" w:cs="Times New Roman"/>
                      <w:b w:val="0"/>
                      <w:bCs w:val="0"/>
                      <w:color w:val="auto"/>
                      <w:sz w:val="21"/>
                      <w:szCs w:val="21"/>
                      <w:lang w:val="en-US" w:eastAsia="zh-CN" w:bidi="ar-SA"/>
                    </w:rPr>
                    <w:t>1996）二级标准限值</w:t>
                  </w:r>
                </w:p>
              </w:tc>
            </w:tr>
            <w:tr w14:paraId="00651E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65" w:type="pct"/>
                  <w:vMerge w:val="continue"/>
                  <w:tcBorders>
                    <w:tl2br w:val="nil"/>
                    <w:tr2bl w:val="nil"/>
                  </w:tcBorders>
                  <w:shd w:val="clear" w:color="auto" w:fill="auto"/>
                  <w:vAlign w:val="center"/>
                </w:tcPr>
                <w:p w14:paraId="69701289">
                  <w:pPr>
                    <w:keepNext w:val="0"/>
                    <w:keepLines w:val="0"/>
                    <w:pageBreakBefore w:val="0"/>
                    <w:widowControl/>
                    <w:kinsoku/>
                    <w:wordWrap/>
                    <w:overflowPunct/>
                    <w:topLinePunct w:val="0"/>
                    <w:autoSpaceDE/>
                    <w:autoSpaceDN/>
                    <w:bidi w:val="0"/>
                    <w:adjustRightInd w:val="0"/>
                    <w:snapToGrid w:val="0"/>
                    <w:spacing w:after="0" w:line="240" w:lineRule="auto"/>
                    <w:ind w:left="0" w:firstLine="0" w:firstLineChars="0"/>
                    <w:jc w:val="center"/>
                    <w:textAlignment w:val="auto"/>
                    <w:rPr>
                      <w:rFonts w:hint="default" w:ascii="Times New Roman" w:hAnsi="Times New Roman" w:eastAsia="宋体" w:cs="Times New Roman"/>
                      <w:b w:val="0"/>
                      <w:bCs w:val="0"/>
                      <w:color w:val="auto"/>
                      <w:sz w:val="21"/>
                      <w:szCs w:val="21"/>
                      <w:lang w:val="en-US" w:eastAsia="zh-CN" w:bidi="ar-SA"/>
                    </w:rPr>
                  </w:pPr>
                </w:p>
              </w:tc>
              <w:tc>
                <w:tcPr>
                  <w:tcW w:w="753" w:type="pct"/>
                  <w:tcBorders>
                    <w:tl2br w:val="nil"/>
                    <w:tr2bl w:val="nil"/>
                  </w:tcBorders>
                  <w:shd w:val="clear" w:color="auto" w:fill="auto"/>
                  <w:vAlign w:val="center"/>
                </w:tcPr>
                <w:p w14:paraId="260B90D8">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val="en-US" w:eastAsia="zh-CN" w:bidi="ar-SA"/>
                    </w:rPr>
                  </w:pPr>
                  <w:r>
                    <w:rPr>
                      <w:rFonts w:hint="default" w:ascii="Times New Roman" w:hAnsi="Times New Roman" w:eastAsia="宋体" w:cs="Times New Roman"/>
                      <w:b w:val="0"/>
                      <w:bCs w:val="0"/>
                      <w:color w:val="auto"/>
                      <w:sz w:val="21"/>
                      <w:szCs w:val="21"/>
                      <w:lang w:val="en-US" w:eastAsia="zh-CN" w:bidi="ar-SA"/>
                    </w:rPr>
                    <w:t>甲醇</w:t>
                  </w:r>
                </w:p>
              </w:tc>
              <w:tc>
                <w:tcPr>
                  <w:tcW w:w="801" w:type="pct"/>
                  <w:tcBorders>
                    <w:tl2br w:val="nil"/>
                    <w:tr2bl w:val="nil"/>
                  </w:tcBorders>
                  <w:shd w:val="clear" w:color="auto" w:fill="auto"/>
                  <w:vAlign w:val="center"/>
                </w:tcPr>
                <w:p w14:paraId="075A1A46">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190</w:t>
                  </w:r>
                </w:p>
              </w:tc>
              <w:tc>
                <w:tcPr>
                  <w:tcW w:w="662" w:type="pct"/>
                  <w:tcBorders>
                    <w:tl2br w:val="nil"/>
                    <w:tr2bl w:val="nil"/>
                  </w:tcBorders>
                  <w:shd w:val="clear" w:color="auto" w:fill="auto"/>
                  <w:vAlign w:val="center"/>
                </w:tcPr>
                <w:p w14:paraId="7ED5E9B3">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15</w:t>
                  </w:r>
                </w:p>
              </w:tc>
              <w:tc>
                <w:tcPr>
                  <w:tcW w:w="883" w:type="pct"/>
                  <w:tcBorders>
                    <w:tl2br w:val="nil"/>
                    <w:tr2bl w:val="nil"/>
                  </w:tcBorders>
                  <w:shd w:val="clear" w:color="auto" w:fill="auto"/>
                  <w:vAlign w:val="center"/>
                </w:tcPr>
                <w:p w14:paraId="6CB7DCFE">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5.1</w:t>
                  </w:r>
                </w:p>
              </w:tc>
              <w:tc>
                <w:tcPr>
                  <w:tcW w:w="1233" w:type="pct"/>
                  <w:vMerge w:val="continue"/>
                  <w:tcBorders>
                    <w:tl2br w:val="nil"/>
                    <w:tr2bl w:val="nil"/>
                  </w:tcBorders>
                  <w:shd w:val="clear" w:color="auto" w:fill="auto"/>
                  <w:vAlign w:val="center"/>
                </w:tcPr>
                <w:p w14:paraId="35B0BE2B">
                  <w:pPr>
                    <w:keepNext w:val="0"/>
                    <w:keepLines w:val="0"/>
                    <w:pageBreakBefore w:val="0"/>
                    <w:widowControl/>
                    <w:kinsoku/>
                    <w:wordWrap/>
                    <w:overflowPunct/>
                    <w:topLinePunct w:val="0"/>
                    <w:autoSpaceDE/>
                    <w:autoSpaceDN/>
                    <w:bidi w:val="0"/>
                    <w:adjustRightInd w:val="0"/>
                    <w:snapToGrid w:val="0"/>
                    <w:spacing w:after="0" w:line="240" w:lineRule="auto"/>
                    <w:ind w:left="0" w:firstLine="0" w:firstLineChars="0"/>
                    <w:jc w:val="center"/>
                    <w:textAlignment w:val="auto"/>
                    <w:rPr>
                      <w:rFonts w:hint="default" w:ascii="Times New Roman" w:hAnsi="Times New Roman" w:eastAsia="宋体" w:cs="Times New Roman"/>
                      <w:b w:val="0"/>
                      <w:bCs w:val="0"/>
                      <w:color w:val="auto"/>
                      <w:sz w:val="21"/>
                      <w:szCs w:val="21"/>
                      <w:lang w:val="en-US" w:eastAsia="zh-CN" w:bidi="ar-SA"/>
                    </w:rPr>
                  </w:pPr>
                </w:p>
              </w:tc>
            </w:tr>
          </w:tbl>
          <w:p w14:paraId="79889A9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eastAsiaTheme="minorEastAsia"/>
                <w:b/>
                <w:bCs/>
                <w:color w:val="FF0000"/>
                <w:sz w:val="21"/>
                <w:szCs w:val="21"/>
                <w:lang w:val="en-US" w:eastAsia="zh-CN" w:bidi="ar-SA"/>
              </w:rPr>
            </w:pPr>
          </w:p>
          <w:p w14:paraId="45F64A7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eastAsiaTheme="minorEastAsia"/>
                <w:b/>
                <w:bCs/>
                <w:color w:val="auto"/>
                <w:sz w:val="21"/>
                <w:szCs w:val="21"/>
                <w:lang w:val="en-US" w:eastAsia="zh-CN" w:bidi="ar-SA"/>
              </w:rPr>
            </w:pPr>
            <w:r>
              <w:rPr>
                <w:rFonts w:hint="eastAsia" w:ascii="Times New Roman" w:hAnsi="Times New Roman" w:cs="Times New Roman" w:eastAsiaTheme="minorEastAsia"/>
                <w:b/>
                <w:bCs/>
                <w:color w:val="auto"/>
                <w:sz w:val="21"/>
                <w:szCs w:val="21"/>
                <w:lang w:val="en-US" w:eastAsia="zh-CN" w:bidi="ar-SA"/>
              </w:rPr>
              <w:t>表1-3 无组织排放监控浓度限值</w:t>
            </w:r>
          </w:p>
          <w:tbl>
            <w:tblPr>
              <w:tblStyle w:val="19"/>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63"/>
              <w:gridCol w:w="1450"/>
              <w:gridCol w:w="1992"/>
              <w:gridCol w:w="2226"/>
            </w:tblGrid>
            <w:tr w14:paraId="61DF3E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9" w:type="pct"/>
                  <w:tcBorders>
                    <w:tl2br w:val="nil"/>
                    <w:tr2bl w:val="nil"/>
                  </w:tcBorders>
                  <w:shd w:val="clear" w:color="auto" w:fill="auto"/>
                  <w:vAlign w:val="center"/>
                </w:tcPr>
                <w:p w14:paraId="4A20A45B">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bCs/>
                      <w:color w:val="auto"/>
                      <w:spacing w:val="0"/>
                      <w:kern w:val="0"/>
                      <w:sz w:val="21"/>
                      <w:szCs w:val="21"/>
                      <w:lang w:val="en-US" w:eastAsia="zh-CN" w:bidi="ar-SA"/>
                    </w:rPr>
                  </w:pPr>
                  <w:r>
                    <w:rPr>
                      <w:rFonts w:hint="eastAsia" w:ascii="Times New Roman" w:hAnsi="Times New Roman" w:cs="Times New Roman" w:eastAsiaTheme="minorEastAsia"/>
                      <w:b/>
                      <w:bCs/>
                      <w:color w:val="auto"/>
                      <w:spacing w:val="0"/>
                      <w:kern w:val="0"/>
                      <w:sz w:val="21"/>
                      <w:szCs w:val="21"/>
                      <w:lang w:val="en-US" w:eastAsia="zh-CN" w:bidi="ar-SA"/>
                    </w:rPr>
                    <w:t>污染物项目</w:t>
                  </w:r>
                </w:p>
              </w:tc>
              <w:tc>
                <w:tcPr>
                  <w:tcW w:w="1031" w:type="pct"/>
                  <w:tcBorders>
                    <w:tl2br w:val="nil"/>
                    <w:tr2bl w:val="nil"/>
                  </w:tcBorders>
                  <w:shd w:val="clear" w:color="auto" w:fill="auto"/>
                  <w:vAlign w:val="center"/>
                </w:tcPr>
                <w:p w14:paraId="45388A5A">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bCs/>
                      <w:color w:val="auto"/>
                      <w:spacing w:val="0"/>
                      <w:kern w:val="0"/>
                      <w:sz w:val="21"/>
                      <w:szCs w:val="21"/>
                      <w:lang w:val="en-US" w:eastAsia="zh-CN" w:bidi="ar-SA"/>
                    </w:rPr>
                  </w:pPr>
                  <w:r>
                    <w:rPr>
                      <w:rFonts w:hint="eastAsia" w:ascii="Times New Roman" w:hAnsi="Times New Roman" w:cs="Times New Roman" w:eastAsiaTheme="minorEastAsia"/>
                      <w:b/>
                      <w:bCs/>
                      <w:color w:val="auto"/>
                      <w:spacing w:val="0"/>
                      <w:kern w:val="0"/>
                      <w:sz w:val="21"/>
                      <w:szCs w:val="21"/>
                      <w:lang w:val="en-US" w:eastAsia="zh-CN" w:bidi="ar-SA"/>
                    </w:rPr>
                    <w:t>排放限值（mg/m</w:t>
                  </w:r>
                  <w:r>
                    <w:rPr>
                      <w:rFonts w:hint="eastAsia" w:ascii="Times New Roman" w:hAnsi="Times New Roman" w:cs="Times New Roman" w:eastAsiaTheme="minorEastAsia"/>
                      <w:b/>
                      <w:bCs/>
                      <w:color w:val="auto"/>
                      <w:spacing w:val="0"/>
                      <w:kern w:val="0"/>
                      <w:sz w:val="21"/>
                      <w:szCs w:val="21"/>
                      <w:vertAlign w:val="superscript"/>
                      <w:lang w:val="en-US" w:eastAsia="zh-CN" w:bidi="ar-SA"/>
                    </w:rPr>
                    <w:t>3</w:t>
                  </w:r>
                  <w:r>
                    <w:rPr>
                      <w:rFonts w:hint="eastAsia" w:ascii="Times New Roman" w:hAnsi="Times New Roman" w:cs="Times New Roman" w:eastAsiaTheme="minorEastAsia"/>
                      <w:b/>
                      <w:bCs/>
                      <w:color w:val="auto"/>
                      <w:spacing w:val="0"/>
                      <w:kern w:val="0"/>
                      <w:sz w:val="21"/>
                      <w:szCs w:val="21"/>
                      <w:lang w:val="en-US" w:eastAsia="zh-CN" w:bidi="ar-SA"/>
                    </w:rPr>
                    <w:t>）</w:t>
                  </w:r>
                </w:p>
              </w:tc>
              <w:tc>
                <w:tcPr>
                  <w:tcW w:w="1416" w:type="pct"/>
                  <w:tcBorders>
                    <w:tl2br w:val="nil"/>
                    <w:tr2bl w:val="nil"/>
                  </w:tcBorders>
                  <w:shd w:val="clear" w:color="auto" w:fill="auto"/>
                  <w:vAlign w:val="center"/>
                </w:tcPr>
                <w:p w14:paraId="4E5D73B3">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bCs/>
                      <w:color w:val="auto"/>
                      <w:spacing w:val="0"/>
                      <w:kern w:val="0"/>
                      <w:sz w:val="21"/>
                      <w:szCs w:val="21"/>
                      <w:lang w:val="en-US" w:eastAsia="zh-CN" w:bidi="ar-SA"/>
                    </w:rPr>
                  </w:pPr>
                  <w:r>
                    <w:rPr>
                      <w:rFonts w:hint="eastAsia" w:ascii="Times New Roman" w:hAnsi="Times New Roman" w:cs="Times New Roman" w:eastAsiaTheme="minorEastAsia"/>
                      <w:b/>
                      <w:bCs/>
                      <w:color w:val="auto"/>
                      <w:spacing w:val="0"/>
                      <w:kern w:val="0"/>
                      <w:sz w:val="21"/>
                      <w:szCs w:val="21"/>
                      <w:lang w:val="en-US" w:eastAsia="zh-CN" w:bidi="ar-SA"/>
                    </w:rPr>
                    <w:t>监控点</w:t>
                  </w:r>
                </w:p>
              </w:tc>
              <w:tc>
                <w:tcPr>
                  <w:tcW w:w="1582" w:type="pct"/>
                  <w:tcBorders>
                    <w:tl2br w:val="nil"/>
                    <w:tr2bl w:val="nil"/>
                  </w:tcBorders>
                  <w:shd w:val="clear" w:color="auto" w:fill="auto"/>
                  <w:vAlign w:val="center"/>
                </w:tcPr>
                <w:p w14:paraId="202FF6E1">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bCs/>
                      <w:color w:val="auto"/>
                      <w:spacing w:val="0"/>
                      <w:kern w:val="0"/>
                      <w:sz w:val="21"/>
                      <w:szCs w:val="21"/>
                      <w:lang w:val="en-US" w:eastAsia="zh-CN" w:bidi="ar-SA"/>
                    </w:rPr>
                  </w:pPr>
                  <w:r>
                    <w:rPr>
                      <w:rFonts w:hint="eastAsia" w:ascii="Times New Roman" w:hAnsi="Times New Roman" w:cs="Times New Roman" w:eastAsiaTheme="minorEastAsia"/>
                      <w:b/>
                      <w:bCs/>
                      <w:color w:val="auto"/>
                      <w:spacing w:val="0"/>
                      <w:kern w:val="0"/>
                      <w:sz w:val="21"/>
                      <w:szCs w:val="21"/>
                      <w:lang w:val="en-US" w:eastAsia="zh-CN" w:bidi="ar-SA"/>
                    </w:rPr>
                    <w:t>执行标准</w:t>
                  </w:r>
                </w:p>
              </w:tc>
            </w:tr>
            <w:tr w14:paraId="2AE9BA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69" w:type="pct"/>
                  <w:tcBorders>
                    <w:tl2br w:val="nil"/>
                    <w:tr2bl w:val="nil"/>
                  </w:tcBorders>
                  <w:shd w:val="clear" w:color="auto" w:fill="auto"/>
                  <w:vAlign w:val="center"/>
                </w:tcPr>
                <w:p w14:paraId="16499DA4">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非甲烷总烃</w:t>
                  </w:r>
                </w:p>
              </w:tc>
              <w:tc>
                <w:tcPr>
                  <w:tcW w:w="1031" w:type="pct"/>
                  <w:tcBorders>
                    <w:tl2br w:val="nil"/>
                    <w:tr2bl w:val="nil"/>
                  </w:tcBorders>
                  <w:shd w:val="clear" w:color="auto" w:fill="auto"/>
                  <w:vAlign w:val="center"/>
                </w:tcPr>
                <w:p w14:paraId="756516FB">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default" w:ascii="Times New Roman" w:hAnsi="Times New Roman" w:cs="Times New Roman" w:eastAsiaTheme="minorEastAsia"/>
                      <w:b w:val="0"/>
                      <w:bCs w:val="0"/>
                      <w:color w:val="auto"/>
                      <w:spacing w:val="0"/>
                      <w:kern w:val="0"/>
                      <w:sz w:val="21"/>
                      <w:szCs w:val="21"/>
                      <w:lang w:val="en-US" w:eastAsia="zh-CN" w:bidi="ar-SA"/>
                    </w:rPr>
                    <w:t>4.0</w:t>
                  </w:r>
                </w:p>
              </w:tc>
              <w:tc>
                <w:tcPr>
                  <w:tcW w:w="1416" w:type="pct"/>
                  <w:tcBorders>
                    <w:tl2br w:val="nil"/>
                    <w:tr2bl w:val="nil"/>
                  </w:tcBorders>
                  <w:shd w:val="clear" w:color="auto" w:fill="auto"/>
                  <w:vAlign w:val="center"/>
                </w:tcPr>
                <w:p w14:paraId="11BDE423">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val="0"/>
                      <w:bCs w:val="0"/>
                      <w:color w:val="auto"/>
                      <w:spacing w:val="0"/>
                      <w:kern w:val="0"/>
                      <w:sz w:val="21"/>
                      <w:szCs w:val="21"/>
                      <w:lang w:val="en-US" w:eastAsia="zh-CN" w:bidi="ar-SA"/>
                    </w:rPr>
                  </w:pPr>
                  <w:r>
                    <w:rPr>
                      <w:rFonts w:hint="default" w:ascii="Times New Roman" w:hAnsi="Times New Roman" w:cs="Times New Roman" w:eastAsiaTheme="minorEastAsia"/>
                      <w:b w:val="0"/>
                      <w:bCs w:val="0"/>
                      <w:color w:val="auto"/>
                      <w:spacing w:val="0"/>
                      <w:kern w:val="0"/>
                      <w:sz w:val="21"/>
                      <w:szCs w:val="21"/>
                      <w:lang w:val="en-US" w:eastAsia="zh-CN" w:bidi="ar-SA"/>
                    </w:rPr>
                    <w:t>周界外浓度最高点</w:t>
                  </w:r>
                </w:p>
              </w:tc>
              <w:tc>
                <w:tcPr>
                  <w:tcW w:w="1582" w:type="pct"/>
                  <w:vMerge w:val="restart"/>
                  <w:tcBorders>
                    <w:tl2br w:val="nil"/>
                    <w:tr2bl w:val="nil"/>
                  </w:tcBorders>
                  <w:shd w:val="clear" w:color="auto" w:fill="auto"/>
                  <w:vAlign w:val="center"/>
                </w:tcPr>
                <w:p w14:paraId="29D72201">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《大气污染物综合排放标准》（GB16297-1996）中无组织排放浓度限值</w:t>
                  </w:r>
                </w:p>
              </w:tc>
            </w:tr>
            <w:tr w14:paraId="09BA71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969" w:type="pct"/>
                  <w:tcBorders>
                    <w:tl2br w:val="nil"/>
                    <w:tr2bl w:val="nil"/>
                  </w:tcBorders>
                  <w:shd w:val="clear" w:color="auto" w:fill="auto"/>
                  <w:vAlign w:val="center"/>
                </w:tcPr>
                <w:p w14:paraId="3BA83C1F">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bidi="ar-SA"/>
                    </w:rPr>
                    <w:t>甲醇</w:t>
                  </w:r>
                </w:p>
              </w:tc>
              <w:tc>
                <w:tcPr>
                  <w:tcW w:w="1031" w:type="pct"/>
                  <w:tcBorders>
                    <w:tl2br w:val="nil"/>
                    <w:tr2bl w:val="nil"/>
                  </w:tcBorders>
                  <w:shd w:val="clear" w:color="auto" w:fill="auto"/>
                  <w:vAlign w:val="center"/>
                </w:tcPr>
                <w:p w14:paraId="04F5D2B5">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12</w:t>
                  </w:r>
                </w:p>
              </w:tc>
              <w:tc>
                <w:tcPr>
                  <w:tcW w:w="1416" w:type="pct"/>
                  <w:tcBorders>
                    <w:tl2br w:val="nil"/>
                    <w:tr2bl w:val="nil"/>
                  </w:tcBorders>
                  <w:shd w:val="clear" w:color="auto" w:fill="auto"/>
                  <w:vAlign w:val="center"/>
                </w:tcPr>
                <w:p w14:paraId="45DF6004">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val="0"/>
                      <w:bCs w:val="0"/>
                      <w:color w:val="auto"/>
                      <w:spacing w:val="0"/>
                      <w:kern w:val="0"/>
                      <w:sz w:val="21"/>
                      <w:szCs w:val="21"/>
                      <w:lang w:val="en-US" w:eastAsia="zh-CN" w:bidi="ar-SA"/>
                    </w:rPr>
                  </w:pPr>
                  <w:r>
                    <w:rPr>
                      <w:rFonts w:hint="default" w:ascii="Times New Roman" w:hAnsi="Times New Roman" w:cs="Times New Roman" w:eastAsiaTheme="minorEastAsia"/>
                      <w:b w:val="0"/>
                      <w:bCs w:val="0"/>
                      <w:color w:val="auto"/>
                      <w:spacing w:val="0"/>
                      <w:kern w:val="0"/>
                      <w:sz w:val="21"/>
                      <w:szCs w:val="21"/>
                      <w:lang w:val="en-US" w:eastAsia="zh-CN" w:bidi="ar-SA"/>
                    </w:rPr>
                    <w:t>周界外浓度最高点</w:t>
                  </w:r>
                </w:p>
              </w:tc>
              <w:tc>
                <w:tcPr>
                  <w:tcW w:w="1582" w:type="pct"/>
                  <w:vMerge w:val="continue"/>
                  <w:tcBorders>
                    <w:tl2br w:val="nil"/>
                    <w:tr2bl w:val="nil"/>
                  </w:tcBorders>
                  <w:shd w:val="clear" w:color="auto" w:fill="auto"/>
                  <w:vAlign w:val="center"/>
                </w:tcPr>
                <w:p w14:paraId="62C67C80">
                  <w:pPr>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ascii="Times New Roman" w:hAnsi="Times New Roman" w:eastAsia="微软雅黑" w:cstheme="minorBidi"/>
                      <w:b w:val="0"/>
                      <w:bCs w:val="0"/>
                      <w:color w:val="auto"/>
                      <w:kern w:val="2"/>
                      <w:sz w:val="21"/>
                      <w:szCs w:val="21"/>
                      <w:lang w:val="en-US" w:eastAsia="zh-CN" w:bidi="ar-SA"/>
                    </w:rPr>
                  </w:pPr>
                </w:p>
              </w:tc>
            </w:tr>
          </w:tbl>
          <w:p w14:paraId="0FFD6DA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eastAsiaTheme="minorEastAsia"/>
                <w:b/>
                <w:bCs/>
                <w:color w:val="auto"/>
                <w:sz w:val="21"/>
                <w:szCs w:val="21"/>
                <w:lang w:val="en-US" w:eastAsia="zh-CN" w:bidi="ar-SA"/>
              </w:rPr>
            </w:pPr>
          </w:p>
          <w:p w14:paraId="7F8110D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cs="Times New Roman" w:eastAsiaTheme="minorEastAsia"/>
                <w:b/>
                <w:bCs/>
                <w:color w:val="FF0000"/>
                <w:sz w:val="21"/>
                <w:szCs w:val="21"/>
                <w:lang w:val="en-US" w:eastAsia="zh-CN" w:bidi="ar-SA"/>
              </w:rPr>
            </w:pPr>
            <w:r>
              <w:rPr>
                <w:rFonts w:hint="eastAsia" w:ascii="Times New Roman" w:hAnsi="Times New Roman" w:cs="Times New Roman" w:eastAsiaTheme="minorEastAsia"/>
                <w:b/>
                <w:bCs/>
                <w:color w:val="auto"/>
                <w:sz w:val="21"/>
                <w:szCs w:val="21"/>
                <w:lang w:val="en-US" w:eastAsia="zh-CN" w:bidi="ar-SA"/>
              </w:rPr>
              <w:t xml:space="preserve">表1-4 </w:t>
            </w:r>
            <w:r>
              <w:rPr>
                <w:rFonts w:hint="eastAsia" w:ascii="Times New Roman" w:hAnsi="Times New Roman" w:cs="Times New Roman" w:eastAsiaTheme="minorEastAsia"/>
                <w:b/>
                <w:bCs/>
                <w:color w:val="000000" w:themeColor="text1"/>
                <w:sz w:val="21"/>
                <w:szCs w:val="21"/>
                <w:lang w:val="en-US" w:eastAsia="zh-CN" w:bidi="ar-SA"/>
                <w14:textFill>
                  <w14:solidFill>
                    <w14:schemeClr w14:val="tx1"/>
                  </w14:solidFill>
                </w14:textFill>
              </w:rPr>
              <w:t>厂区内VOCs无组织排放限值</w:t>
            </w:r>
          </w:p>
          <w:tbl>
            <w:tblPr>
              <w:tblStyle w:val="19"/>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38"/>
              <w:gridCol w:w="1287"/>
              <w:gridCol w:w="1513"/>
              <w:gridCol w:w="1912"/>
              <w:gridCol w:w="1281"/>
            </w:tblGrid>
            <w:tr w14:paraId="3DD193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8" w:type="pct"/>
                  <w:tcBorders>
                    <w:tl2br w:val="nil"/>
                    <w:tr2bl w:val="nil"/>
                  </w:tcBorders>
                  <w:shd w:val="clear" w:color="auto" w:fill="auto"/>
                  <w:vAlign w:val="center"/>
                </w:tcPr>
                <w:p w14:paraId="187C5632">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bCs/>
                      <w:color w:val="auto"/>
                      <w:spacing w:val="0"/>
                      <w:kern w:val="0"/>
                      <w:sz w:val="21"/>
                      <w:szCs w:val="21"/>
                      <w:lang w:val="en-US" w:eastAsia="zh-CN" w:bidi="ar-SA"/>
                    </w:rPr>
                  </w:pPr>
                  <w:r>
                    <w:rPr>
                      <w:rFonts w:hint="eastAsia" w:ascii="Times New Roman" w:hAnsi="Times New Roman" w:cs="Times New Roman" w:eastAsiaTheme="minorEastAsia"/>
                      <w:b/>
                      <w:bCs/>
                      <w:color w:val="auto"/>
                      <w:spacing w:val="0"/>
                      <w:kern w:val="0"/>
                      <w:sz w:val="21"/>
                      <w:szCs w:val="21"/>
                      <w:lang w:val="en-US" w:eastAsia="zh-CN" w:bidi="ar-SA"/>
                    </w:rPr>
                    <w:t>污染物项目</w:t>
                  </w:r>
                </w:p>
              </w:tc>
              <w:tc>
                <w:tcPr>
                  <w:tcW w:w="915" w:type="pct"/>
                  <w:tcBorders>
                    <w:tl2br w:val="nil"/>
                    <w:tr2bl w:val="nil"/>
                  </w:tcBorders>
                  <w:shd w:val="clear" w:color="auto" w:fill="auto"/>
                  <w:vAlign w:val="center"/>
                </w:tcPr>
                <w:p w14:paraId="4F617578">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bCs/>
                      <w:color w:val="auto"/>
                      <w:spacing w:val="0"/>
                      <w:kern w:val="0"/>
                      <w:sz w:val="21"/>
                      <w:szCs w:val="21"/>
                      <w:lang w:val="en-US" w:eastAsia="zh-CN" w:bidi="ar-SA"/>
                    </w:rPr>
                  </w:pPr>
                  <w:r>
                    <w:rPr>
                      <w:rFonts w:hint="eastAsia" w:ascii="Times New Roman" w:hAnsi="Times New Roman" w:cs="Times New Roman" w:eastAsiaTheme="minorEastAsia"/>
                      <w:b/>
                      <w:bCs/>
                      <w:color w:val="auto"/>
                      <w:spacing w:val="0"/>
                      <w:kern w:val="0"/>
                      <w:sz w:val="21"/>
                      <w:szCs w:val="21"/>
                      <w:lang w:val="en-US" w:eastAsia="zh-CN" w:bidi="ar-SA"/>
                    </w:rPr>
                    <w:t>排放限值（mg/m</w:t>
                  </w:r>
                  <w:r>
                    <w:rPr>
                      <w:rFonts w:hint="eastAsia" w:ascii="Times New Roman" w:hAnsi="Times New Roman" w:cs="Times New Roman" w:eastAsiaTheme="minorEastAsia"/>
                      <w:b/>
                      <w:bCs/>
                      <w:color w:val="auto"/>
                      <w:spacing w:val="0"/>
                      <w:kern w:val="0"/>
                      <w:sz w:val="21"/>
                      <w:szCs w:val="21"/>
                      <w:vertAlign w:val="superscript"/>
                      <w:lang w:val="en-US" w:eastAsia="zh-CN" w:bidi="ar-SA"/>
                    </w:rPr>
                    <w:t>3</w:t>
                  </w:r>
                  <w:r>
                    <w:rPr>
                      <w:rFonts w:hint="eastAsia" w:ascii="Times New Roman" w:hAnsi="Times New Roman" w:cs="Times New Roman" w:eastAsiaTheme="minorEastAsia"/>
                      <w:b/>
                      <w:bCs/>
                      <w:color w:val="auto"/>
                      <w:spacing w:val="0"/>
                      <w:kern w:val="0"/>
                      <w:sz w:val="21"/>
                      <w:szCs w:val="21"/>
                      <w:lang w:val="en-US" w:eastAsia="zh-CN" w:bidi="ar-SA"/>
                    </w:rPr>
                    <w:t>）</w:t>
                  </w:r>
                </w:p>
              </w:tc>
              <w:tc>
                <w:tcPr>
                  <w:tcW w:w="1075" w:type="pct"/>
                  <w:tcBorders>
                    <w:tl2br w:val="nil"/>
                    <w:tr2bl w:val="nil"/>
                  </w:tcBorders>
                  <w:shd w:val="clear" w:color="auto" w:fill="auto"/>
                  <w:vAlign w:val="center"/>
                </w:tcPr>
                <w:p w14:paraId="06D9B122">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bCs/>
                      <w:color w:val="auto"/>
                      <w:spacing w:val="0"/>
                      <w:kern w:val="0"/>
                      <w:sz w:val="21"/>
                      <w:szCs w:val="21"/>
                      <w:lang w:val="en-US" w:eastAsia="zh-CN" w:bidi="ar-SA"/>
                    </w:rPr>
                  </w:pPr>
                  <w:r>
                    <w:rPr>
                      <w:rFonts w:hint="eastAsia" w:ascii="Times New Roman" w:hAnsi="Times New Roman" w:cs="Times New Roman" w:eastAsiaTheme="minorEastAsia"/>
                      <w:b/>
                      <w:bCs/>
                      <w:color w:val="auto"/>
                      <w:spacing w:val="0"/>
                      <w:kern w:val="0"/>
                      <w:sz w:val="21"/>
                      <w:szCs w:val="21"/>
                      <w:lang w:val="en-US" w:eastAsia="zh-CN" w:bidi="ar-SA"/>
                    </w:rPr>
                    <w:t>特别排放限值（mg/m</w:t>
                  </w:r>
                  <w:r>
                    <w:rPr>
                      <w:rFonts w:hint="eastAsia" w:ascii="Times New Roman" w:hAnsi="Times New Roman" w:cs="Times New Roman" w:eastAsiaTheme="minorEastAsia"/>
                      <w:b/>
                      <w:bCs/>
                      <w:color w:val="auto"/>
                      <w:spacing w:val="0"/>
                      <w:kern w:val="0"/>
                      <w:sz w:val="21"/>
                      <w:szCs w:val="21"/>
                      <w:vertAlign w:val="superscript"/>
                      <w:lang w:val="en-US" w:eastAsia="zh-CN" w:bidi="ar-SA"/>
                    </w:rPr>
                    <w:t>3</w:t>
                  </w:r>
                  <w:r>
                    <w:rPr>
                      <w:rFonts w:hint="eastAsia" w:ascii="Times New Roman" w:hAnsi="Times New Roman" w:cs="Times New Roman" w:eastAsiaTheme="minorEastAsia"/>
                      <w:b/>
                      <w:bCs/>
                      <w:color w:val="auto"/>
                      <w:spacing w:val="0"/>
                      <w:kern w:val="0"/>
                      <w:sz w:val="21"/>
                      <w:szCs w:val="21"/>
                      <w:lang w:val="en-US" w:eastAsia="zh-CN" w:bidi="ar-SA"/>
                    </w:rPr>
                    <w:t>）</w:t>
                  </w:r>
                </w:p>
              </w:tc>
              <w:tc>
                <w:tcPr>
                  <w:tcW w:w="1359" w:type="pct"/>
                  <w:tcBorders>
                    <w:tl2br w:val="nil"/>
                    <w:tr2bl w:val="nil"/>
                  </w:tcBorders>
                  <w:shd w:val="clear" w:color="auto" w:fill="auto"/>
                  <w:vAlign w:val="center"/>
                </w:tcPr>
                <w:p w14:paraId="07B2DC26">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bCs/>
                      <w:color w:val="auto"/>
                      <w:spacing w:val="0"/>
                      <w:kern w:val="0"/>
                      <w:sz w:val="21"/>
                      <w:szCs w:val="21"/>
                      <w:lang w:val="en-US" w:eastAsia="zh-CN" w:bidi="ar-SA"/>
                    </w:rPr>
                  </w:pPr>
                  <w:r>
                    <w:rPr>
                      <w:rFonts w:hint="eastAsia" w:ascii="Times New Roman" w:hAnsi="Times New Roman" w:cs="Times New Roman" w:eastAsiaTheme="minorEastAsia"/>
                      <w:b/>
                      <w:bCs/>
                      <w:color w:val="auto"/>
                      <w:spacing w:val="0"/>
                      <w:kern w:val="0"/>
                      <w:sz w:val="21"/>
                      <w:szCs w:val="21"/>
                      <w:lang w:val="en-US" w:eastAsia="zh-CN" w:bidi="ar-SA"/>
                    </w:rPr>
                    <w:t>限值含义</w:t>
                  </w:r>
                </w:p>
              </w:tc>
              <w:tc>
                <w:tcPr>
                  <w:tcW w:w="910" w:type="pct"/>
                  <w:tcBorders>
                    <w:tl2br w:val="nil"/>
                    <w:tr2bl w:val="nil"/>
                  </w:tcBorders>
                  <w:shd w:val="clear" w:color="auto" w:fill="auto"/>
                  <w:vAlign w:val="center"/>
                </w:tcPr>
                <w:p w14:paraId="53138E43">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bCs/>
                      <w:color w:val="auto"/>
                      <w:spacing w:val="0"/>
                      <w:kern w:val="0"/>
                      <w:sz w:val="21"/>
                      <w:szCs w:val="21"/>
                      <w:lang w:val="en-US" w:eastAsia="zh-CN" w:bidi="ar-SA"/>
                    </w:rPr>
                  </w:pPr>
                  <w:r>
                    <w:rPr>
                      <w:rFonts w:hint="eastAsia" w:ascii="Times New Roman" w:hAnsi="Times New Roman" w:cs="Times New Roman" w:eastAsiaTheme="minorEastAsia"/>
                      <w:b/>
                      <w:bCs/>
                      <w:color w:val="auto"/>
                      <w:spacing w:val="0"/>
                      <w:kern w:val="0"/>
                      <w:sz w:val="21"/>
                      <w:szCs w:val="21"/>
                      <w:lang w:val="en-US" w:eastAsia="zh-CN" w:bidi="ar-SA"/>
                    </w:rPr>
                    <w:t>无组织排放监控位置</w:t>
                  </w:r>
                </w:p>
              </w:tc>
            </w:tr>
            <w:tr w14:paraId="1FB9B9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38" w:type="pct"/>
                  <w:vMerge w:val="restart"/>
                  <w:tcBorders>
                    <w:tl2br w:val="nil"/>
                    <w:tr2bl w:val="nil"/>
                  </w:tcBorders>
                  <w:shd w:val="clear" w:color="auto" w:fill="auto"/>
                  <w:vAlign w:val="center"/>
                </w:tcPr>
                <w:p w14:paraId="40DFE2C5">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NMHC</w:t>
                  </w:r>
                </w:p>
              </w:tc>
              <w:tc>
                <w:tcPr>
                  <w:tcW w:w="915" w:type="pct"/>
                  <w:tcBorders>
                    <w:tl2br w:val="nil"/>
                    <w:tr2bl w:val="nil"/>
                  </w:tcBorders>
                  <w:shd w:val="clear" w:color="auto" w:fill="auto"/>
                  <w:vAlign w:val="center"/>
                </w:tcPr>
                <w:p w14:paraId="0D51F3DE">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10</w:t>
                  </w:r>
                </w:p>
              </w:tc>
              <w:tc>
                <w:tcPr>
                  <w:tcW w:w="1075" w:type="pct"/>
                  <w:tcBorders>
                    <w:tl2br w:val="nil"/>
                    <w:tr2bl w:val="nil"/>
                  </w:tcBorders>
                  <w:shd w:val="clear" w:color="auto" w:fill="auto"/>
                  <w:vAlign w:val="center"/>
                </w:tcPr>
                <w:p w14:paraId="2D183CD3">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6</w:t>
                  </w:r>
                </w:p>
              </w:tc>
              <w:tc>
                <w:tcPr>
                  <w:tcW w:w="1359" w:type="pct"/>
                  <w:tcBorders>
                    <w:tl2br w:val="nil"/>
                    <w:tr2bl w:val="nil"/>
                  </w:tcBorders>
                  <w:shd w:val="clear" w:color="auto" w:fill="auto"/>
                  <w:vAlign w:val="center"/>
                </w:tcPr>
                <w:p w14:paraId="07713D76">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监控点处1h平均浓度值</w:t>
                  </w:r>
                </w:p>
              </w:tc>
              <w:tc>
                <w:tcPr>
                  <w:tcW w:w="910" w:type="pct"/>
                  <w:vMerge w:val="restart"/>
                  <w:tcBorders>
                    <w:tl2br w:val="nil"/>
                    <w:tr2bl w:val="nil"/>
                  </w:tcBorders>
                  <w:shd w:val="clear" w:color="auto" w:fill="auto"/>
                  <w:vAlign w:val="center"/>
                </w:tcPr>
                <w:p w14:paraId="18F1D6B6">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在厂房外设置监控点</w:t>
                  </w:r>
                </w:p>
              </w:tc>
            </w:tr>
            <w:tr w14:paraId="25BA56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738" w:type="pct"/>
                  <w:vMerge w:val="continue"/>
                  <w:tcBorders>
                    <w:tl2br w:val="nil"/>
                    <w:tr2bl w:val="nil"/>
                  </w:tcBorders>
                  <w:shd w:val="clear" w:color="auto" w:fill="auto"/>
                  <w:vAlign w:val="center"/>
                </w:tcPr>
                <w:p w14:paraId="62AF71F3">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val="0"/>
                      <w:bCs w:val="0"/>
                      <w:color w:val="auto"/>
                      <w:spacing w:val="0"/>
                      <w:kern w:val="0"/>
                      <w:sz w:val="21"/>
                      <w:szCs w:val="21"/>
                      <w:lang w:val="en-US" w:eastAsia="zh-CN" w:bidi="ar-SA"/>
                    </w:rPr>
                  </w:pPr>
                </w:p>
              </w:tc>
              <w:tc>
                <w:tcPr>
                  <w:tcW w:w="915" w:type="pct"/>
                  <w:tcBorders>
                    <w:tl2br w:val="nil"/>
                    <w:tr2bl w:val="nil"/>
                  </w:tcBorders>
                  <w:shd w:val="clear" w:color="auto" w:fill="auto"/>
                  <w:vAlign w:val="center"/>
                </w:tcPr>
                <w:p w14:paraId="1357B0E1">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30</w:t>
                  </w:r>
                </w:p>
              </w:tc>
              <w:tc>
                <w:tcPr>
                  <w:tcW w:w="1075" w:type="pct"/>
                  <w:tcBorders>
                    <w:tl2br w:val="nil"/>
                    <w:tr2bl w:val="nil"/>
                  </w:tcBorders>
                  <w:shd w:val="clear" w:color="auto" w:fill="auto"/>
                  <w:vAlign w:val="center"/>
                </w:tcPr>
                <w:p w14:paraId="4A823C7A">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default"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20</w:t>
                  </w:r>
                </w:p>
              </w:tc>
              <w:tc>
                <w:tcPr>
                  <w:tcW w:w="1359" w:type="pct"/>
                  <w:tcBorders>
                    <w:tl2br w:val="nil"/>
                    <w:tr2bl w:val="nil"/>
                  </w:tcBorders>
                  <w:shd w:val="clear" w:color="auto" w:fill="auto"/>
                  <w:vAlign w:val="center"/>
                </w:tcPr>
                <w:p w14:paraId="7AC95367">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baseline"/>
                    <w:rPr>
                      <w:rFonts w:hint="eastAsia" w:ascii="Times New Roman" w:hAnsi="Times New Roman" w:cs="Times New Roman" w:eastAsiaTheme="minorEastAsia"/>
                      <w:b w:val="0"/>
                      <w:bCs w:val="0"/>
                      <w:color w:val="auto"/>
                      <w:spacing w:val="0"/>
                      <w:kern w:val="0"/>
                      <w:sz w:val="21"/>
                      <w:szCs w:val="21"/>
                      <w:lang w:val="en-US" w:eastAsia="zh-CN" w:bidi="ar-SA"/>
                    </w:rPr>
                  </w:pPr>
                  <w:r>
                    <w:rPr>
                      <w:rFonts w:hint="eastAsia" w:ascii="Times New Roman" w:hAnsi="Times New Roman" w:cs="Times New Roman" w:eastAsiaTheme="minorEastAsia"/>
                      <w:b w:val="0"/>
                      <w:bCs w:val="0"/>
                      <w:color w:val="auto"/>
                      <w:spacing w:val="0"/>
                      <w:kern w:val="0"/>
                      <w:sz w:val="21"/>
                      <w:szCs w:val="21"/>
                      <w:lang w:val="en-US" w:eastAsia="zh-CN" w:bidi="ar-SA"/>
                    </w:rPr>
                    <w:t>监控点处任意一次浓度值</w:t>
                  </w:r>
                </w:p>
              </w:tc>
              <w:tc>
                <w:tcPr>
                  <w:tcW w:w="910" w:type="pct"/>
                  <w:vMerge w:val="continue"/>
                  <w:tcBorders>
                    <w:tl2br w:val="nil"/>
                    <w:tr2bl w:val="nil"/>
                  </w:tcBorders>
                  <w:shd w:val="clear" w:color="auto" w:fill="auto"/>
                  <w:vAlign w:val="center"/>
                </w:tcPr>
                <w:p w14:paraId="662E6EF5">
                  <w:pPr>
                    <w:adjustRightInd w:val="0"/>
                    <w:snapToGrid w:val="0"/>
                    <w:spacing w:after="200" w:afterLines="0" w:line="240" w:lineRule="auto"/>
                    <w:jc w:val="center"/>
                    <w:rPr>
                      <w:rFonts w:ascii="Times New Roman" w:hAnsi="Times New Roman" w:eastAsia="微软雅黑" w:cstheme="minorBidi"/>
                      <w:b w:val="0"/>
                      <w:bCs w:val="0"/>
                      <w:color w:val="auto"/>
                      <w:kern w:val="2"/>
                      <w:sz w:val="21"/>
                      <w:szCs w:val="21"/>
                      <w:lang w:val="en-US" w:eastAsia="zh-CN" w:bidi="ar-SA"/>
                    </w:rPr>
                  </w:pPr>
                </w:p>
              </w:tc>
            </w:tr>
          </w:tbl>
          <w:p w14:paraId="2DD5129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eastAsiaTheme="minorEastAsia"/>
                <w:b/>
                <w:bCs/>
                <w:color w:val="FF0000"/>
                <w:sz w:val="21"/>
                <w:szCs w:val="21"/>
                <w:lang w:val="en-US" w:eastAsia="zh-CN" w:bidi="ar-SA"/>
              </w:rPr>
            </w:pPr>
          </w:p>
          <w:p w14:paraId="443B7522">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both"/>
              <w:textAlignment w:val="auto"/>
              <w:rPr>
                <w:rFonts w:hint="default" w:ascii="Times New Roman" w:hAnsi="Times New Roman" w:cs="Times New Roman" w:eastAsiaTheme="minorEastAsia"/>
                <w:b/>
                <w:bCs/>
                <w:color w:val="auto"/>
                <w:sz w:val="24"/>
                <w:szCs w:val="24"/>
                <w:lang w:val="en-US" w:eastAsia="zh-CN" w:bidi="ar-SA"/>
              </w:rPr>
            </w:pPr>
            <w:r>
              <w:rPr>
                <w:rFonts w:hint="eastAsia" w:ascii="Times New Roman" w:hAnsi="Times New Roman" w:cs="Times New Roman" w:eastAsiaTheme="minorEastAsia"/>
                <w:b/>
                <w:bCs/>
                <w:color w:val="auto"/>
                <w:sz w:val="24"/>
                <w:szCs w:val="24"/>
                <w:lang w:val="en-US" w:eastAsia="zh-CN" w:bidi="ar-SA"/>
              </w:rPr>
              <w:t>3.</w:t>
            </w:r>
            <w:r>
              <w:rPr>
                <w:rFonts w:hint="default" w:ascii="Times New Roman" w:hAnsi="Times New Roman" w:cs="Times New Roman" w:eastAsiaTheme="minorEastAsia"/>
                <w:b/>
                <w:bCs/>
                <w:color w:val="auto"/>
                <w:sz w:val="24"/>
                <w:szCs w:val="24"/>
                <w:lang w:val="en-US" w:eastAsia="zh-CN" w:bidi="ar-SA"/>
              </w:rPr>
              <w:t>噪声</w:t>
            </w:r>
            <w:r>
              <w:rPr>
                <w:rFonts w:hint="eastAsia" w:ascii="Times New Roman" w:hAnsi="Times New Roman" w:cs="Times New Roman" w:eastAsiaTheme="minorEastAsia"/>
                <w:b/>
                <w:bCs/>
                <w:color w:val="auto"/>
                <w:sz w:val="24"/>
                <w:szCs w:val="24"/>
                <w:lang w:val="en-US" w:eastAsia="zh-CN" w:bidi="ar-SA"/>
              </w:rPr>
              <w:t>排放</w:t>
            </w:r>
            <w:r>
              <w:rPr>
                <w:rFonts w:hint="default" w:ascii="Times New Roman" w:hAnsi="Times New Roman" w:cs="Times New Roman" w:eastAsiaTheme="minorEastAsia"/>
                <w:b/>
                <w:bCs/>
                <w:color w:val="auto"/>
                <w:sz w:val="24"/>
                <w:szCs w:val="24"/>
                <w:lang w:val="en-US" w:eastAsia="zh-CN" w:bidi="ar-SA"/>
              </w:rPr>
              <w:t>标准</w:t>
            </w:r>
          </w:p>
          <w:p w14:paraId="36F4F22C">
            <w:pPr>
              <w:keepNext w:val="0"/>
              <w:keepLines w:val="0"/>
              <w:pageBreakBefore w:val="0"/>
              <w:widowControl/>
              <w:kinsoku/>
              <w:wordWrap/>
              <w:overflowPunct/>
              <w:topLinePunct w:val="0"/>
              <w:autoSpaceDE/>
              <w:autoSpaceDN/>
              <w:bidi w:val="0"/>
              <w:adjustRightInd w:val="0"/>
              <w:snapToGrid w:val="0"/>
              <w:spacing w:after="0" w:line="360" w:lineRule="auto"/>
              <w:ind w:left="0" w:firstLine="480" w:firstLineChars="200"/>
              <w:jc w:val="both"/>
              <w:textAlignment w:val="auto"/>
              <w:rPr>
                <w:rFonts w:hint="default" w:ascii="Times New Roman" w:hAnsi="Times New Roman" w:cs="Times New Roman" w:eastAsiaTheme="minorEastAsia"/>
                <w:b w:val="0"/>
                <w:bCs w:val="0"/>
                <w:color w:val="auto"/>
                <w:sz w:val="24"/>
                <w:szCs w:val="24"/>
                <w:lang w:val="en-US" w:eastAsia="zh-CN" w:bidi="ar-SA"/>
              </w:rPr>
            </w:pPr>
            <w:r>
              <w:rPr>
                <w:rFonts w:hint="eastAsia" w:ascii="Times New Roman" w:hAnsi="Times New Roman" w:cs="Times New Roman" w:eastAsiaTheme="minorEastAsia"/>
                <w:b w:val="0"/>
                <w:bCs w:val="0"/>
                <w:color w:val="auto"/>
                <w:sz w:val="24"/>
                <w:szCs w:val="24"/>
                <w:lang w:val="en-US" w:eastAsia="zh-CN" w:bidi="ar-SA"/>
              </w:rPr>
              <w:t>项目</w:t>
            </w:r>
            <w:r>
              <w:rPr>
                <w:rFonts w:hint="default" w:ascii="Times New Roman" w:hAnsi="Times New Roman" w:cs="Times New Roman" w:eastAsiaTheme="minorEastAsia"/>
                <w:b w:val="0"/>
                <w:bCs w:val="0"/>
                <w:color w:val="auto"/>
                <w:sz w:val="24"/>
                <w:szCs w:val="24"/>
                <w:lang w:val="en-US" w:eastAsia="zh-CN" w:bidi="ar-SA"/>
              </w:rPr>
              <w:t>运营期噪声排放执行《工业企业厂界环境噪声排放标准》（GB12348-2008）中的3类标准。</w:t>
            </w:r>
          </w:p>
          <w:p w14:paraId="45DAC04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eastAsiaTheme="minorEastAsia"/>
                <w:b/>
                <w:bCs/>
                <w:color w:val="auto"/>
                <w:sz w:val="21"/>
                <w:szCs w:val="21"/>
                <w:lang w:val="en-US" w:eastAsia="zh-CN" w:bidi="ar-SA"/>
              </w:rPr>
            </w:pPr>
            <w:r>
              <w:rPr>
                <w:rFonts w:hint="eastAsia" w:ascii="Times New Roman" w:hAnsi="Times New Roman" w:cs="Times New Roman" w:eastAsiaTheme="minorEastAsia"/>
                <w:b/>
                <w:bCs/>
                <w:color w:val="auto"/>
                <w:sz w:val="21"/>
                <w:szCs w:val="21"/>
                <w:lang w:val="en-US" w:eastAsia="zh-CN" w:bidi="ar-SA"/>
              </w:rPr>
              <w:t>表1-5 工业企业厂界环境噪声排放标准  单位：dB（A）</w:t>
            </w:r>
          </w:p>
          <w:tbl>
            <w:tblPr>
              <w:tblStyle w:val="19"/>
              <w:tblW w:w="5000"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027"/>
              <w:gridCol w:w="2015"/>
              <w:gridCol w:w="1993"/>
            </w:tblGrid>
            <w:tr w14:paraId="32DA2E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151" w:type="pct"/>
                  <w:tcBorders>
                    <w:tl2br w:val="nil"/>
                    <w:tr2bl w:val="nil"/>
                  </w:tcBorders>
                  <w:vAlign w:val="center"/>
                </w:tcPr>
                <w:p w14:paraId="72B761CE">
                  <w:pPr>
                    <w:pStyle w:val="30"/>
                    <w:keepNext w:val="0"/>
                    <w:keepLines w:val="0"/>
                    <w:pageBreakBefore w:val="0"/>
                    <w:widowControl/>
                    <w:kinsoku/>
                    <w:wordWrap/>
                    <w:overflowPunct/>
                    <w:topLinePunct w:val="0"/>
                    <w:autoSpaceDE/>
                    <w:autoSpaceDN/>
                    <w:bidi w:val="0"/>
                    <w:adjustRightInd w:val="0"/>
                    <w:snapToGrid w:val="0"/>
                    <w:spacing w:after="0"/>
                    <w:rPr>
                      <w:rFonts w:hint="eastAsia" w:ascii="Times New Roman" w:hAnsi="Times New Roman" w:cs="Times New Roman" w:eastAsiaTheme="minorEastAsia"/>
                      <w:b/>
                      <w:bCs/>
                      <w:color w:val="auto"/>
                      <w:spacing w:val="0"/>
                      <w:sz w:val="21"/>
                      <w:szCs w:val="21"/>
                      <w:lang w:val="en-US" w:eastAsia="zh-CN" w:bidi="ar-SA"/>
                    </w:rPr>
                  </w:pPr>
                  <w:r>
                    <w:rPr>
                      <w:rFonts w:hint="eastAsia" w:ascii="Times New Roman" w:hAnsi="Times New Roman" w:cs="Times New Roman" w:eastAsiaTheme="minorEastAsia"/>
                      <w:b/>
                      <w:bCs/>
                      <w:color w:val="auto"/>
                      <w:spacing w:val="0"/>
                      <w:sz w:val="21"/>
                      <w:szCs w:val="21"/>
                      <w:lang w:val="en-US" w:eastAsia="zh-CN" w:bidi="ar-SA"/>
                    </w:rPr>
                    <w:t>标准</w:t>
                  </w:r>
                </w:p>
              </w:tc>
              <w:tc>
                <w:tcPr>
                  <w:tcW w:w="1432" w:type="pct"/>
                  <w:tcBorders>
                    <w:tl2br w:val="nil"/>
                    <w:tr2bl w:val="nil"/>
                  </w:tcBorders>
                  <w:vAlign w:val="center"/>
                </w:tcPr>
                <w:p w14:paraId="698F7DBF">
                  <w:pPr>
                    <w:pStyle w:val="30"/>
                    <w:keepNext w:val="0"/>
                    <w:keepLines w:val="0"/>
                    <w:pageBreakBefore w:val="0"/>
                    <w:widowControl/>
                    <w:kinsoku/>
                    <w:wordWrap/>
                    <w:overflowPunct/>
                    <w:topLinePunct w:val="0"/>
                    <w:autoSpaceDE/>
                    <w:autoSpaceDN/>
                    <w:bidi w:val="0"/>
                    <w:adjustRightInd w:val="0"/>
                    <w:snapToGrid w:val="0"/>
                    <w:spacing w:after="0"/>
                    <w:rPr>
                      <w:rFonts w:hint="eastAsia" w:ascii="Times New Roman" w:hAnsi="Times New Roman" w:cs="Times New Roman" w:eastAsiaTheme="minorEastAsia"/>
                      <w:b/>
                      <w:bCs/>
                      <w:color w:val="auto"/>
                      <w:spacing w:val="0"/>
                      <w:sz w:val="21"/>
                      <w:szCs w:val="21"/>
                      <w:lang w:val="en-US" w:eastAsia="zh-CN" w:bidi="ar-SA"/>
                    </w:rPr>
                  </w:pPr>
                  <w:r>
                    <w:rPr>
                      <w:rFonts w:hint="eastAsia" w:ascii="Times New Roman" w:hAnsi="Times New Roman" w:cs="Times New Roman" w:eastAsiaTheme="minorEastAsia"/>
                      <w:b/>
                      <w:bCs/>
                      <w:color w:val="auto"/>
                      <w:spacing w:val="0"/>
                      <w:sz w:val="21"/>
                      <w:szCs w:val="21"/>
                      <w:lang w:val="en-US" w:eastAsia="zh-CN" w:bidi="ar-SA"/>
                    </w:rPr>
                    <w:t>昼间</w:t>
                  </w:r>
                </w:p>
              </w:tc>
              <w:tc>
                <w:tcPr>
                  <w:tcW w:w="1416" w:type="pct"/>
                  <w:tcBorders>
                    <w:tl2br w:val="nil"/>
                    <w:tr2bl w:val="nil"/>
                  </w:tcBorders>
                  <w:vAlign w:val="center"/>
                </w:tcPr>
                <w:p w14:paraId="6C4663FF">
                  <w:pPr>
                    <w:pStyle w:val="30"/>
                    <w:keepNext w:val="0"/>
                    <w:keepLines w:val="0"/>
                    <w:pageBreakBefore w:val="0"/>
                    <w:widowControl/>
                    <w:kinsoku/>
                    <w:wordWrap/>
                    <w:overflowPunct/>
                    <w:topLinePunct w:val="0"/>
                    <w:autoSpaceDE/>
                    <w:autoSpaceDN/>
                    <w:bidi w:val="0"/>
                    <w:adjustRightInd w:val="0"/>
                    <w:snapToGrid w:val="0"/>
                    <w:spacing w:after="0"/>
                    <w:rPr>
                      <w:rFonts w:hint="eastAsia" w:ascii="Times New Roman" w:hAnsi="Times New Roman" w:cs="Times New Roman" w:eastAsiaTheme="minorEastAsia"/>
                      <w:b/>
                      <w:bCs/>
                      <w:color w:val="auto"/>
                      <w:spacing w:val="0"/>
                      <w:sz w:val="21"/>
                      <w:szCs w:val="21"/>
                      <w:lang w:val="en-US" w:eastAsia="zh-CN" w:bidi="ar-SA"/>
                    </w:rPr>
                  </w:pPr>
                  <w:r>
                    <w:rPr>
                      <w:rFonts w:hint="eastAsia" w:ascii="Times New Roman" w:hAnsi="Times New Roman" w:cs="Times New Roman" w:eastAsiaTheme="minorEastAsia"/>
                      <w:b/>
                      <w:bCs/>
                      <w:color w:val="auto"/>
                      <w:spacing w:val="0"/>
                      <w:sz w:val="21"/>
                      <w:szCs w:val="21"/>
                      <w:lang w:val="en-US" w:eastAsia="zh-CN" w:bidi="ar-SA"/>
                    </w:rPr>
                    <w:t>夜间</w:t>
                  </w:r>
                </w:p>
              </w:tc>
            </w:tr>
            <w:tr w14:paraId="358664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151" w:type="pct"/>
                  <w:tcBorders>
                    <w:tl2br w:val="nil"/>
                    <w:tr2bl w:val="nil"/>
                  </w:tcBorders>
                  <w:vAlign w:val="center"/>
                </w:tcPr>
                <w:p w14:paraId="7EBE09E4">
                  <w:pPr>
                    <w:pStyle w:val="30"/>
                    <w:keepNext w:val="0"/>
                    <w:keepLines w:val="0"/>
                    <w:pageBreakBefore w:val="0"/>
                    <w:widowControl/>
                    <w:kinsoku/>
                    <w:wordWrap/>
                    <w:overflowPunct/>
                    <w:topLinePunct w:val="0"/>
                    <w:autoSpaceDE/>
                    <w:autoSpaceDN/>
                    <w:bidi w:val="0"/>
                    <w:adjustRightInd w:val="0"/>
                    <w:snapToGrid w:val="0"/>
                    <w:spacing w:after="0"/>
                    <w:rPr>
                      <w:rFonts w:hint="eastAsia" w:ascii="Times New Roman" w:hAnsi="Times New Roman" w:cs="Times New Roman" w:eastAsiaTheme="minorEastAsia"/>
                      <w:b w:val="0"/>
                      <w:bCs w:val="0"/>
                      <w:color w:val="auto"/>
                      <w:spacing w:val="0"/>
                      <w:sz w:val="21"/>
                      <w:szCs w:val="21"/>
                      <w:lang w:val="en-US" w:eastAsia="zh-CN" w:bidi="ar-SA"/>
                    </w:rPr>
                  </w:pPr>
                  <w:r>
                    <w:rPr>
                      <w:rFonts w:hint="eastAsia" w:ascii="Times New Roman" w:hAnsi="Times New Roman" w:cs="Times New Roman" w:eastAsiaTheme="minorEastAsia"/>
                      <w:b w:val="0"/>
                      <w:bCs w:val="0"/>
                      <w:color w:val="auto"/>
                      <w:spacing w:val="0"/>
                      <w:sz w:val="21"/>
                      <w:szCs w:val="21"/>
                      <w:lang w:val="en-US" w:eastAsia="zh-CN" w:bidi="ar-SA"/>
                    </w:rPr>
                    <w:t>GB12348-2008中3类标准</w:t>
                  </w:r>
                </w:p>
              </w:tc>
              <w:tc>
                <w:tcPr>
                  <w:tcW w:w="1432" w:type="pct"/>
                  <w:tcBorders>
                    <w:tl2br w:val="nil"/>
                    <w:tr2bl w:val="nil"/>
                  </w:tcBorders>
                  <w:vAlign w:val="center"/>
                </w:tcPr>
                <w:p w14:paraId="03930C1D">
                  <w:pPr>
                    <w:pStyle w:val="30"/>
                    <w:keepNext w:val="0"/>
                    <w:keepLines w:val="0"/>
                    <w:pageBreakBefore w:val="0"/>
                    <w:widowControl/>
                    <w:kinsoku/>
                    <w:wordWrap/>
                    <w:overflowPunct/>
                    <w:topLinePunct w:val="0"/>
                    <w:autoSpaceDE/>
                    <w:autoSpaceDN/>
                    <w:bidi w:val="0"/>
                    <w:adjustRightInd w:val="0"/>
                    <w:snapToGrid w:val="0"/>
                    <w:spacing w:after="0"/>
                    <w:rPr>
                      <w:rFonts w:hint="eastAsia" w:ascii="Times New Roman" w:hAnsi="Times New Roman" w:cs="Times New Roman" w:eastAsiaTheme="minorEastAsia"/>
                      <w:b w:val="0"/>
                      <w:bCs w:val="0"/>
                      <w:color w:val="auto"/>
                      <w:spacing w:val="0"/>
                      <w:sz w:val="21"/>
                      <w:szCs w:val="21"/>
                      <w:lang w:val="en-US" w:eastAsia="zh-CN" w:bidi="ar-SA"/>
                    </w:rPr>
                  </w:pPr>
                  <w:r>
                    <w:rPr>
                      <w:rFonts w:hint="eastAsia" w:ascii="Times New Roman" w:hAnsi="Times New Roman" w:cs="Times New Roman" w:eastAsiaTheme="minorEastAsia"/>
                      <w:b w:val="0"/>
                      <w:bCs w:val="0"/>
                      <w:color w:val="auto"/>
                      <w:spacing w:val="0"/>
                      <w:sz w:val="21"/>
                      <w:szCs w:val="21"/>
                      <w:lang w:val="en-US" w:eastAsia="zh-CN" w:bidi="ar-SA"/>
                    </w:rPr>
                    <w:t>65</w:t>
                  </w:r>
                </w:p>
              </w:tc>
              <w:tc>
                <w:tcPr>
                  <w:tcW w:w="1416" w:type="pct"/>
                  <w:tcBorders>
                    <w:tl2br w:val="nil"/>
                    <w:tr2bl w:val="nil"/>
                  </w:tcBorders>
                  <w:vAlign w:val="center"/>
                </w:tcPr>
                <w:p w14:paraId="40F90496">
                  <w:pPr>
                    <w:pStyle w:val="30"/>
                    <w:keepNext w:val="0"/>
                    <w:keepLines w:val="0"/>
                    <w:pageBreakBefore w:val="0"/>
                    <w:widowControl/>
                    <w:kinsoku/>
                    <w:wordWrap/>
                    <w:overflowPunct/>
                    <w:topLinePunct w:val="0"/>
                    <w:autoSpaceDE/>
                    <w:autoSpaceDN/>
                    <w:bidi w:val="0"/>
                    <w:adjustRightInd w:val="0"/>
                    <w:snapToGrid w:val="0"/>
                    <w:spacing w:after="0"/>
                    <w:rPr>
                      <w:rFonts w:hint="eastAsia" w:ascii="Times New Roman" w:hAnsi="Times New Roman" w:cs="Times New Roman" w:eastAsiaTheme="minorEastAsia"/>
                      <w:b w:val="0"/>
                      <w:bCs w:val="0"/>
                      <w:color w:val="auto"/>
                      <w:spacing w:val="0"/>
                      <w:sz w:val="21"/>
                      <w:szCs w:val="21"/>
                      <w:lang w:val="en-US" w:eastAsia="zh-CN" w:bidi="ar-SA"/>
                    </w:rPr>
                  </w:pPr>
                  <w:r>
                    <w:rPr>
                      <w:rFonts w:hint="eastAsia" w:ascii="Times New Roman" w:hAnsi="Times New Roman" w:cs="Times New Roman" w:eastAsiaTheme="minorEastAsia"/>
                      <w:b w:val="0"/>
                      <w:bCs w:val="0"/>
                      <w:color w:val="auto"/>
                      <w:spacing w:val="0"/>
                      <w:sz w:val="21"/>
                      <w:szCs w:val="21"/>
                      <w:lang w:val="en-US" w:eastAsia="zh-CN" w:bidi="ar-SA"/>
                    </w:rPr>
                    <w:t>55</w:t>
                  </w:r>
                </w:p>
              </w:tc>
            </w:tr>
          </w:tbl>
          <w:p w14:paraId="5AB1FFAB">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both"/>
              <w:textAlignment w:val="auto"/>
              <w:rPr>
                <w:rFonts w:hint="default" w:ascii="Times New Roman" w:hAnsi="Times New Roman" w:eastAsia="宋体" w:cs="Times New Roman"/>
                <w:b/>
                <w:bCs/>
                <w:color w:val="auto"/>
                <w:sz w:val="24"/>
                <w:szCs w:val="24"/>
                <w:lang w:val="en-US" w:eastAsia="zh-CN" w:bidi="ar-SA"/>
              </w:rPr>
            </w:pPr>
            <w:bookmarkStart w:id="12" w:name="_Toc2767"/>
            <w:r>
              <w:rPr>
                <w:rFonts w:hint="default" w:ascii="Times New Roman" w:hAnsi="Times New Roman" w:eastAsia="宋体" w:cs="Times New Roman"/>
                <w:b/>
                <w:bCs/>
                <w:color w:val="auto"/>
                <w:sz w:val="24"/>
                <w:szCs w:val="24"/>
                <w:lang w:val="en-US" w:eastAsia="zh-CN" w:bidi="ar-SA"/>
              </w:rPr>
              <w:t>4</w:t>
            </w:r>
            <w:r>
              <w:rPr>
                <w:rFonts w:hint="eastAsia" w:ascii="Times New Roman" w:hAnsi="Times New Roman" w:eastAsia="宋体" w:cs="Times New Roman"/>
                <w:b/>
                <w:bCs/>
                <w:color w:val="auto"/>
                <w:sz w:val="24"/>
                <w:szCs w:val="24"/>
                <w:lang w:val="en-US" w:eastAsia="zh-CN" w:bidi="ar-SA"/>
              </w:rPr>
              <w:t>.</w:t>
            </w:r>
            <w:r>
              <w:rPr>
                <w:rFonts w:hint="default" w:ascii="Times New Roman" w:hAnsi="Times New Roman" w:eastAsia="宋体" w:cs="Times New Roman"/>
                <w:b/>
                <w:bCs/>
                <w:color w:val="auto"/>
                <w:sz w:val="24"/>
                <w:szCs w:val="24"/>
                <w:lang w:val="en-US" w:eastAsia="zh-CN" w:bidi="ar-SA"/>
              </w:rPr>
              <w:t>固废</w:t>
            </w:r>
            <w:bookmarkEnd w:id="12"/>
          </w:p>
          <w:p w14:paraId="44C3A1D0">
            <w:pPr>
              <w:spacing w:line="360" w:lineRule="auto"/>
              <w:ind w:firstLine="480" w:firstLineChars="200"/>
              <w:rPr>
                <w:rFonts w:hint="default"/>
                <w:color w:val="FF0000"/>
              </w:rPr>
            </w:pPr>
            <w:r>
              <w:rPr>
                <w:rFonts w:hint="default" w:ascii="Times New Roman" w:hAnsi="Times New Roman" w:eastAsia="宋体" w:cs="Times New Roman"/>
                <w:b w:val="0"/>
                <w:bCs w:val="0"/>
                <w:color w:val="auto"/>
                <w:sz w:val="24"/>
                <w:szCs w:val="24"/>
                <w:lang w:val="en-US" w:eastAsia="zh-CN" w:bidi="ar-SA"/>
              </w:rPr>
              <w:t>一般工业固废贮存、处置参照执行《一般工业固体废物贮存和填埋污染控制标准》（GB18599-2020）中有关规定；危险废物执行《危险废物贮存污染控制标准》</w:t>
            </w:r>
            <w:r>
              <w:rPr>
                <w:rFonts w:hint="eastAsia" w:ascii="Times New Roman" w:hAnsi="Times New Roman" w:eastAsia="宋体" w:cs="Times New Roman"/>
                <w:b w:val="0"/>
                <w:bCs w:val="0"/>
                <w:color w:val="auto"/>
                <w:sz w:val="24"/>
                <w:szCs w:val="24"/>
                <w:lang w:val="en-US" w:eastAsia="zh-CN" w:bidi="ar-SA"/>
              </w:rPr>
              <w:t>（</w:t>
            </w:r>
            <w:r>
              <w:rPr>
                <w:rFonts w:hint="default" w:ascii="Times New Roman" w:hAnsi="Times New Roman" w:eastAsia="宋体" w:cs="Times New Roman"/>
                <w:b w:val="0"/>
                <w:bCs w:val="0"/>
                <w:color w:val="auto"/>
                <w:sz w:val="24"/>
                <w:szCs w:val="24"/>
                <w:lang w:val="en-US" w:eastAsia="zh-CN" w:bidi="ar-SA"/>
              </w:rPr>
              <w:t>GB18597-2023</w:t>
            </w:r>
            <w:r>
              <w:rPr>
                <w:rFonts w:hint="eastAsia" w:ascii="Times New Roman" w:hAnsi="Times New Roman" w:eastAsia="宋体" w:cs="Times New Roman"/>
                <w:b w:val="0"/>
                <w:bCs w:val="0"/>
                <w:color w:val="auto"/>
                <w:sz w:val="24"/>
                <w:szCs w:val="24"/>
                <w:lang w:val="en-US" w:eastAsia="zh-CN" w:bidi="ar-SA"/>
              </w:rPr>
              <w:t>）</w:t>
            </w:r>
            <w:r>
              <w:rPr>
                <w:rFonts w:hint="default" w:ascii="Times New Roman" w:hAnsi="Times New Roman" w:eastAsia="宋体" w:cs="Times New Roman"/>
                <w:b w:val="0"/>
                <w:bCs w:val="0"/>
                <w:color w:val="auto"/>
                <w:sz w:val="24"/>
                <w:szCs w:val="24"/>
                <w:lang w:val="en-US" w:eastAsia="zh-CN" w:bidi="ar-SA"/>
              </w:rPr>
              <w:t>中相关要求。</w:t>
            </w:r>
          </w:p>
        </w:tc>
      </w:tr>
    </w:tbl>
    <w:p w14:paraId="404442BA">
      <w:pPr>
        <w:spacing w:after="0" w:afterLines="0" w:line="360" w:lineRule="auto"/>
        <w:rPr>
          <w:rFonts w:eastAsia="仿宋_GB2312"/>
          <w:color w:val="FF0000"/>
          <w:sz w:val="24"/>
          <w:szCs w:val="24"/>
        </w:rPr>
        <w:sectPr>
          <w:footerReference r:id="rId9" w:type="default"/>
          <w:pgSz w:w="11906" w:h="16838"/>
          <w:pgMar w:top="1701" w:right="1531" w:bottom="1701" w:left="1531" w:header="708" w:footer="708" w:gutter="0"/>
          <w:pgBorders>
            <w:top w:val="none" w:sz="0" w:space="0"/>
            <w:left w:val="none" w:sz="0" w:space="0"/>
            <w:bottom w:val="none" w:sz="0" w:space="0"/>
            <w:right w:val="none" w:sz="0" w:space="0"/>
          </w:pgBorders>
          <w:pgNumType w:fmt="decimal" w:start="1"/>
          <w:cols w:space="720" w:num="1"/>
          <w:docGrid w:linePitch="360" w:charSpace="0"/>
        </w:sectPr>
      </w:pPr>
      <w:r>
        <w:rPr>
          <w:rFonts w:eastAsia="仿宋_GB2312"/>
          <w:color w:val="FF0000"/>
          <w:sz w:val="24"/>
          <w:szCs w:val="24"/>
        </w:rPr>
        <w:br w:type="page"/>
      </w:r>
    </w:p>
    <w:p w14:paraId="77F0A4BE">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default" w:ascii="Times New Roman" w:hAnsi="Times New Roman" w:eastAsia="宋体" w:cs="Times New Roman"/>
          <w:b/>
          <w:color w:val="auto"/>
          <w:sz w:val="24"/>
          <w:szCs w:val="24"/>
          <w:lang w:val="en-US" w:eastAsia="zh-CN"/>
        </w:rPr>
      </w:pPr>
      <w:bookmarkStart w:id="13" w:name="_Toc23570"/>
      <w:r>
        <w:rPr>
          <w:rFonts w:hint="default" w:ascii="Times New Roman" w:hAnsi="Times New Roman" w:eastAsia="宋体" w:cs="Times New Roman"/>
          <w:b/>
          <w:color w:val="auto"/>
          <w:sz w:val="24"/>
          <w:szCs w:val="24"/>
        </w:rPr>
        <w:t>表二</w:t>
      </w:r>
      <w:r>
        <w:rPr>
          <w:rFonts w:hint="default" w:ascii="Times New Roman" w:hAnsi="Times New Roman" w:eastAsia="宋体" w:cs="Times New Roman"/>
          <w:b/>
          <w:color w:val="auto"/>
          <w:sz w:val="24"/>
          <w:szCs w:val="24"/>
          <w:lang w:val="en-US" w:eastAsia="zh-CN"/>
        </w:rPr>
        <w:t xml:space="preserve">  工程建设内容、原辅料消耗及水平衡、主要生产工艺及产污染环节</w:t>
      </w:r>
      <w:bookmarkEnd w:id="13"/>
    </w:p>
    <w:tbl>
      <w:tblPr>
        <w:tblStyle w:val="19"/>
        <w:tblW w:w="924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46"/>
      </w:tblGrid>
      <w:tr w14:paraId="61D771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70" w:hRule="atLeast"/>
          <w:jc w:val="center"/>
        </w:trPr>
        <w:tc>
          <w:tcPr>
            <w:tcW w:w="9246" w:type="dxa"/>
            <w:noWrap w:val="0"/>
            <w:vAlign w:val="top"/>
          </w:tcPr>
          <w:p w14:paraId="1D683EC2">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both"/>
              <w:textAlignment w:val="auto"/>
              <w:rPr>
                <w:rFonts w:hint="eastAsia" w:ascii="Times New Roman" w:hAnsi="Times New Roman" w:cs="Times New Roman" w:eastAsiaTheme="minorEastAsia"/>
                <w:b/>
                <w:bCs/>
                <w:color w:val="auto"/>
                <w:sz w:val="24"/>
                <w:szCs w:val="24"/>
                <w:lang w:val="en-US" w:eastAsia="zh-CN" w:bidi="ar-SA"/>
              </w:rPr>
            </w:pPr>
            <w:r>
              <w:rPr>
                <w:rFonts w:hint="eastAsia" w:ascii="Times New Roman" w:hAnsi="Times New Roman" w:cs="Times New Roman" w:eastAsiaTheme="minorEastAsia"/>
                <w:b/>
                <w:bCs/>
                <w:color w:val="auto"/>
                <w:sz w:val="24"/>
                <w:szCs w:val="24"/>
                <w:lang w:val="en-US" w:eastAsia="zh-CN" w:bidi="ar-SA"/>
              </w:rPr>
              <w:t>2.1工程建设内容</w:t>
            </w:r>
          </w:p>
          <w:p w14:paraId="61AB1D5A">
            <w:pPr>
              <w:pStyle w:val="33"/>
              <w:keepNext w:val="0"/>
              <w:keepLines w:val="0"/>
              <w:pageBreakBefore w:val="0"/>
              <w:kinsoku/>
              <w:wordWrap/>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2.1.1</w:t>
            </w:r>
            <w:r>
              <w:rPr>
                <w:rFonts w:hint="eastAsia" w:eastAsia="宋体" w:cs="Times New Roman"/>
                <w:color w:val="auto"/>
                <w:sz w:val="24"/>
                <w:szCs w:val="24"/>
                <w:lang w:val="en-US" w:eastAsia="zh-CN"/>
              </w:rPr>
              <w:t>项目概况</w:t>
            </w:r>
          </w:p>
          <w:p w14:paraId="50D6E509">
            <w:pPr>
              <w:keepNext w:val="0"/>
              <w:keepLines w:val="0"/>
              <w:pageBreakBefore w:val="0"/>
              <w:widowControl/>
              <w:kinsoku/>
              <w:wordWrap/>
              <w:overflowPunct/>
              <w:topLinePunct w:val="0"/>
              <w:autoSpaceDE/>
              <w:autoSpaceDN/>
              <w:bidi w:val="0"/>
              <w:adjustRightInd w:val="0"/>
              <w:snapToGrid w:val="0"/>
              <w:spacing w:after="0" w:afterLines="0" w:line="360" w:lineRule="auto"/>
              <w:ind w:firstLine="480" w:firstLineChars="200"/>
              <w:textAlignment w:val="auto"/>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黄山市航瑞新材料有限公司</w:t>
            </w:r>
            <w:r>
              <w:rPr>
                <w:rFonts w:hint="eastAsia" w:ascii="Times New Roman" w:hAnsi="Times New Roman" w:eastAsia="宋体" w:cs="Times New Roman"/>
                <w:bCs/>
                <w:color w:val="auto"/>
                <w:sz w:val="24"/>
                <w:lang w:val="en-US" w:eastAsia="zh-CN"/>
              </w:rPr>
              <w:t>成立于2020年12月7日，法定代表人为何千道，注册资本2000万元整，注册地</w:t>
            </w:r>
            <w:r>
              <w:rPr>
                <w:rFonts w:hint="default" w:ascii="Times New Roman" w:hAnsi="Times New Roman" w:eastAsia="宋体" w:cs="Times New Roman"/>
                <w:bCs/>
                <w:color w:val="auto"/>
                <w:sz w:val="24"/>
              </w:rPr>
              <w:t>位于安徽省黄山市歙县经济开发区城西园区北环路，占地面积为</w:t>
            </w:r>
            <w:r>
              <w:rPr>
                <w:rFonts w:hint="eastAsia" w:ascii="Times New Roman" w:hAnsi="Times New Roman" w:eastAsia="宋体" w:cs="Times New Roman"/>
                <w:bCs/>
                <w:color w:val="auto"/>
                <w:sz w:val="24"/>
                <w:lang w:val="en-US" w:eastAsia="zh-CN"/>
              </w:rPr>
              <w:t>15159</w:t>
            </w:r>
            <w:r>
              <w:rPr>
                <w:rFonts w:hint="default" w:ascii="Times New Roman" w:hAnsi="Times New Roman" w:eastAsia="宋体" w:cs="Times New Roman"/>
                <w:bCs/>
                <w:color w:val="auto"/>
                <w:sz w:val="24"/>
              </w:rPr>
              <w:t>平方米，</w:t>
            </w:r>
            <w:r>
              <w:rPr>
                <w:rFonts w:hint="eastAsia" w:ascii="Times New Roman" w:hAnsi="Times New Roman" w:eastAsia="宋体" w:cs="Times New Roman"/>
                <w:bCs/>
                <w:color w:val="auto"/>
                <w:sz w:val="24"/>
                <w:lang w:val="en-US" w:eastAsia="zh-CN"/>
              </w:rPr>
              <w:t>企业计划投资27000万元，</w:t>
            </w:r>
            <w:r>
              <w:rPr>
                <w:rFonts w:hint="default" w:ascii="Times New Roman" w:hAnsi="Times New Roman" w:eastAsia="宋体" w:cs="Times New Roman"/>
                <w:bCs/>
                <w:color w:val="auto"/>
                <w:sz w:val="24"/>
              </w:rPr>
              <w:t>项目购置</w:t>
            </w:r>
            <w:r>
              <w:rPr>
                <w:rFonts w:hint="eastAsia" w:ascii="Times New Roman" w:hAnsi="Times New Roman" w:eastAsia="宋体" w:cs="Times New Roman"/>
                <w:bCs/>
                <w:color w:val="auto"/>
                <w:sz w:val="24"/>
                <w:lang w:val="en-US" w:eastAsia="zh-CN"/>
              </w:rPr>
              <w:t>涂布机、网纹辊、分切机、印刷机、复卷机</w:t>
            </w:r>
            <w:r>
              <w:rPr>
                <w:rFonts w:hint="default" w:ascii="Times New Roman" w:hAnsi="Times New Roman" w:eastAsia="宋体" w:cs="Times New Roman"/>
                <w:bCs/>
                <w:color w:val="auto"/>
                <w:sz w:val="24"/>
                <w:lang w:eastAsia="zh-CN"/>
              </w:rPr>
              <w:t>等主要生产设备，</w:t>
            </w:r>
            <w:r>
              <w:rPr>
                <w:rFonts w:hint="default" w:ascii="Times New Roman" w:hAnsi="Times New Roman" w:eastAsia="宋体" w:cs="Times New Roman"/>
                <w:bCs/>
                <w:color w:val="auto"/>
                <w:sz w:val="24"/>
              </w:rPr>
              <w:t>并建设相关配套设施，</w:t>
            </w:r>
            <w:r>
              <w:rPr>
                <w:rFonts w:hint="default" w:ascii="Times New Roman" w:hAnsi="Times New Roman" w:eastAsia="宋体" w:cs="Times New Roman"/>
                <w:bCs/>
                <w:color w:val="auto"/>
                <w:sz w:val="24"/>
                <w:lang w:val="en-US" w:eastAsia="zh-CN"/>
              </w:rPr>
              <w:t>达产后将</w:t>
            </w:r>
            <w:r>
              <w:rPr>
                <w:rFonts w:hint="default" w:ascii="Times New Roman" w:hAnsi="Times New Roman" w:eastAsia="宋体" w:cs="Times New Roman"/>
                <w:bCs/>
                <w:color w:val="auto"/>
                <w:sz w:val="24"/>
              </w:rPr>
              <w:t>形成年产1.2亿平方米PVC保护膜的生产规模</w:t>
            </w:r>
            <w:r>
              <w:rPr>
                <w:rFonts w:hint="default" w:ascii="Times New Roman" w:hAnsi="Times New Roman" w:eastAsia="宋体" w:cs="Times New Roman"/>
                <w:bCs/>
                <w:color w:val="auto"/>
                <w:sz w:val="24"/>
                <w:lang w:val="en-US" w:eastAsia="zh-CN"/>
              </w:rPr>
              <w:t>，目前实际已建成年产4000万平方米PVC保护膜的生产能力</w:t>
            </w:r>
            <w:r>
              <w:rPr>
                <w:rFonts w:hint="default" w:ascii="Times New Roman" w:hAnsi="Times New Roman" w:eastAsia="宋体" w:cs="Times New Roman"/>
                <w:bCs/>
                <w:color w:val="auto"/>
                <w:sz w:val="24"/>
              </w:rPr>
              <w:t>。</w:t>
            </w:r>
          </w:p>
          <w:p w14:paraId="42CD7E9F">
            <w:pPr>
              <w:keepNext w:val="0"/>
              <w:keepLines w:val="0"/>
              <w:pageBreakBefore w:val="0"/>
              <w:widowControl/>
              <w:kinsoku/>
              <w:wordWrap/>
              <w:overflowPunct/>
              <w:topLinePunct w:val="0"/>
              <w:autoSpaceDE/>
              <w:autoSpaceDN/>
              <w:bidi w:val="0"/>
              <w:adjustRightInd w:val="0"/>
              <w:snapToGrid w:val="0"/>
              <w:spacing w:after="0" w:afterLines="0" w:line="360" w:lineRule="auto"/>
              <w:ind w:firstLine="480" w:firstLineChars="200"/>
              <w:textAlignment w:val="auto"/>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Cs/>
                <w:color w:val="000000" w:themeColor="text1"/>
                <w:sz w:val="24"/>
                <w:lang w:val="en-US" w:eastAsia="zh-CN"/>
                <w14:textFill>
                  <w14:solidFill>
                    <w14:schemeClr w14:val="tx1"/>
                  </w14:solidFill>
                </w14:textFill>
              </w:rPr>
              <w:t>项目厂区东侧临园区经二路，隔路为天马科技园，南侧为安徽万超高分子化工有限公司；西侧为安徽世广新型建材有限公司；北侧外为临环路</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。项目地理位置图见附图1，周边概况见附图2</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项目平面布局图具体见附图3。</w:t>
            </w:r>
          </w:p>
          <w:p w14:paraId="2B17DCF6">
            <w:pPr>
              <w:keepNext w:val="0"/>
              <w:keepLines w:val="0"/>
              <w:pageBreakBefore w:val="0"/>
              <w:widowControl/>
              <w:kinsoku/>
              <w:wordWrap/>
              <w:overflowPunct/>
              <w:topLinePunct w:val="0"/>
              <w:autoSpaceDE/>
              <w:autoSpaceDN/>
              <w:bidi w:val="0"/>
              <w:adjustRightInd w:val="0"/>
              <w:snapToGrid w:val="0"/>
              <w:spacing w:after="0" w:afterLines="0" w:line="360" w:lineRule="auto"/>
              <w:ind w:firstLine="480" w:firstLineChars="200"/>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企业于202</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1</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年</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4</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月委托安徽</w:t>
            </w:r>
            <w:r>
              <w:rPr>
                <w:rFonts w:hint="default" w:ascii="Times New Roman" w:hAnsi="Times New Roman" w:cs="Times New Roman" w:eastAsiaTheme="minorEastAsia"/>
                <w:color w:val="auto"/>
                <w:sz w:val="24"/>
                <w:szCs w:val="24"/>
                <w:lang w:val="en-US" w:eastAsia="zh-CN"/>
              </w:rPr>
              <w:t>国恩环境工程有限公司编写了《</w:t>
            </w:r>
            <w:r>
              <w:rPr>
                <w:rFonts w:hint="eastAsia" w:ascii="Times New Roman" w:hAnsi="Times New Roman" w:cs="Times New Roman" w:eastAsiaTheme="minorEastAsia"/>
                <w:color w:val="auto"/>
                <w:sz w:val="24"/>
                <w:szCs w:val="24"/>
                <w:lang w:val="en-US" w:eastAsia="zh-CN"/>
              </w:rPr>
              <w:t>黄山市航瑞新材料有限公司年产1.2亿平方米PVC保护膜项目</w:t>
            </w:r>
            <w:r>
              <w:rPr>
                <w:rFonts w:hint="default" w:ascii="Times New Roman" w:hAnsi="Times New Roman" w:cs="Times New Roman" w:eastAsiaTheme="minorEastAsia"/>
                <w:color w:val="auto"/>
                <w:sz w:val="24"/>
                <w:szCs w:val="24"/>
                <w:lang w:val="en-US" w:eastAsia="zh-CN"/>
              </w:rPr>
              <w:t>环境影响报告表》，202</w:t>
            </w:r>
            <w:r>
              <w:rPr>
                <w:rFonts w:hint="eastAsia" w:ascii="Times New Roman" w:hAnsi="Times New Roman" w:cs="Times New Roman" w:eastAsiaTheme="minorEastAsia"/>
                <w:color w:val="auto"/>
                <w:sz w:val="24"/>
                <w:szCs w:val="24"/>
                <w:lang w:val="en-US" w:eastAsia="zh-CN"/>
              </w:rPr>
              <w:t>1</w:t>
            </w:r>
            <w:r>
              <w:rPr>
                <w:rFonts w:hint="default" w:ascii="Times New Roman" w:hAnsi="Times New Roman" w:cs="Times New Roman" w:eastAsiaTheme="minorEastAsia"/>
                <w:color w:val="auto"/>
                <w:sz w:val="24"/>
                <w:szCs w:val="24"/>
                <w:lang w:val="en-US" w:eastAsia="zh-CN"/>
              </w:rPr>
              <w:t>年</w:t>
            </w:r>
            <w:r>
              <w:rPr>
                <w:rFonts w:hint="eastAsia" w:ascii="Times New Roman" w:hAnsi="Times New Roman" w:cs="Times New Roman" w:eastAsiaTheme="minorEastAsia"/>
                <w:color w:val="auto"/>
                <w:sz w:val="24"/>
                <w:szCs w:val="24"/>
                <w:lang w:val="en-US" w:eastAsia="zh-CN"/>
              </w:rPr>
              <w:t>11</w:t>
            </w:r>
            <w:r>
              <w:rPr>
                <w:rFonts w:hint="default" w:ascii="Times New Roman" w:hAnsi="Times New Roman" w:cs="Times New Roman" w:eastAsiaTheme="minorEastAsia"/>
                <w:color w:val="auto"/>
                <w:sz w:val="24"/>
                <w:szCs w:val="24"/>
                <w:lang w:val="en-US" w:eastAsia="zh-CN"/>
              </w:rPr>
              <w:t>月经</w:t>
            </w:r>
            <w:r>
              <w:rPr>
                <w:rFonts w:hint="eastAsia" w:ascii="Times New Roman" w:hAnsi="Times New Roman" w:cs="Times New Roman" w:eastAsiaTheme="minorEastAsia"/>
                <w:color w:val="auto"/>
                <w:sz w:val="24"/>
                <w:szCs w:val="24"/>
                <w:lang w:val="en-US" w:eastAsia="zh-CN"/>
              </w:rPr>
              <w:t>黄山市歙县生态环境分局</w:t>
            </w:r>
            <w:r>
              <w:rPr>
                <w:rFonts w:hint="default" w:ascii="Times New Roman" w:hAnsi="Times New Roman" w:cs="Times New Roman" w:eastAsiaTheme="minorEastAsia"/>
                <w:color w:val="auto"/>
                <w:sz w:val="24"/>
                <w:szCs w:val="24"/>
                <w:lang w:val="en-US" w:eastAsia="zh-CN"/>
              </w:rPr>
              <w:t>审批，审批文号为：歙环字</w:t>
            </w:r>
            <w:r>
              <w:rPr>
                <w:rFonts w:hint="eastAsia"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eastAsia="zh-CN"/>
              </w:rPr>
              <w:t>2021</w:t>
            </w:r>
            <w:r>
              <w:rPr>
                <w:rFonts w:hint="eastAsia"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eastAsia="zh-CN"/>
              </w:rPr>
              <w:t>110号；202</w:t>
            </w:r>
            <w:r>
              <w:rPr>
                <w:rFonts w:hint="eastAsia" w:ascii="Times New Roman" w:hAnsi="Times New Roman" w:cs="Times New Roman" w:eastAsiaTheme="minorEastAsia"/>
                <w:color w:val="auto"/>
                <w:sz w:val="24"/>
                <w:szCs w:val="24"/>
                <w:lang w:val="en-US" w:eastAsia="zh-CN"/>
              </w:rPr>
              <w:t>5</w:t>
            </w:r>
            <w:r>
              <w:rPr>
                <w:rFonts w:hint="default" w:ascii="Times New Roman" w:hAnsi="Times New Roman" w:cs="Times New Roman" w:eastAsiaTheme="minorEastAsia"/>
                <w:color w:val="auto"/>
                <w:sz w:val="24"/>
                <w:szCs w:val="24"/>
                <w:lang w:val="en-US" w:eastAsia="zh-CN"/>
              </w:rPr>
              <w:t>年</w:t>
            </w:r>
            <w:r>
              <w:rPr>
                <w:rFonts w:hint="eastAsia" w:ascii="Times New Roman" w:hAnsi="Times New Roman" w:cs="Times New Roman" w:eastAsiaTheme="minorEastAsia"/>
                <w:color w:val="auto"/>
                <w:sz w:val="24"/>
                <w:szCs w:val="24"/>
                <w:lang w:val="en-US" w:eastAsia="zh-CN"/>
              </w:rPr>
              <w:t>4</w:t>
            </w:r>
            <w:r>
              <w:rPr>
                <w:rFonts w:hint="default" w:ascii="Times New Roman" w:hAnsi="Times New Roman" w:cs="Times New Roman" w:eastAsiaTheme="minorEastAsia"/>
                <w:color w:val="auto"/>
                <w:sz w:val="24"/>
                <w:szCs w:val="24"/>
                <w:lang w:val="en-US" w:eastAsia="zh-CN"/>
              </w:rPr>
              <w:t>月</w:t>
            </w:r>
            <w:r>
              <w:rPr>
                <w:rFonts w:hint="eastAsia" w:ascii="Times New Roman" w:hAnsi="Times New Roman" w:cs="Times New Roman" w:eastAsiaTheme="minorEastAsia"/>
                <w:color w:val="auto"/>
                <w:sz w:val="24"/>
                <w:szCs w:val="24"/>
                <w:lang w:val="en-US" w:eastAsia="zh-CN"/>
              </w:rPr>
              <w:t>11</w:t>
            </w:r>
            <w:r>
              <w:rPr>
                <w:rFonts w:hint="default" w:ascii="Times New Roman" w:hAnsi="Times New Roman" w:cs="Times New Roman" w:eastAsiaTheme="minorEastAsia"/>
                <w:color w:val="auto"/>
                <w:sz w:val="24"/>
                <w:szCs w:val="24"/>
                <w:lang w:val="en-US" w:eastAsia="zh-CN"/>
              </w:rPr>
              <w:t>日取得了</w:t>
            </w:r>
            <w:r>
              <w:rPr>
                <w:rFonts w:hint="eastAsia" w:ascii="Times New Roman" w:hAnsi="Times New Roman" w:cs="Times New Roman" w:eastAsiaTheme="minorEastAsia"/>
                <w:color w:val="auto"/>
                <w:sz w:val="24"/>
                <w:szCs w:val="24"/>
                <w:lang w:val="en-US" w:eastAsia="zh-CN"/>
              </w:rPr>
              <w:t>固定污染源</w:t>
            </w:r>
            <w:r>
              <w:rPr>
                <w:rFonts w:hint="default" w:ascii="Times New Roman" w:hAnsi="Times New Roman" w:cs="Times New Roman" w:eastAsiaTheme="minorEastAsia"/>
                <w:color w:val="auto"/>
                <w:sz w:val="24"/>
                <w:szCs w:val="24"/>
                <w:lang w:val="en-US" w:eastAsia="zh-CN"/>
              </w:rPr>
              <w:t>登记</w:t>
            </w:r>
            <w:r>
              <w:rPr>
                <w:rFonts w:hint="eastAsia" w:ascii="Times New Roman" w:hAnsi="Times New Roman" w:cs="Times New Roman" w:eastAsiaTheme="minorEastAsia"/>
                <w:color w:val="auto"/>
                <w:sz w:val="24"/>
                <w:szCs w:val="24"/>
                <w:lang w:val="en-US" w:eastAsia="zh-CN"/>
              </w:rPr>
              <w:t>回执</w:t>
            </w:r>
            <w:r>
              <w:rPr>
                <w:rFonts w:hint="default" w:ascii="Times New Roman" w:hAnsi="Times New Roman" w:cs="Times New Roman" w:eastAsiaTheme="minorEastAsia"/>
                <w:color w:val="auto"/>
                <w:sz w:val="24"/>
                <w:szCs w:val="24"/>
                <w:lang w:val="en-US" w:eastAsia="zh-CN"/>
              </w:rPr>
              <w:t>，登记编号为91341021MA2WGQBLX0001Z</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；2025年9月17日《黄山市航瑞新材料有限公司</w:t>
            </w:r>
            <w:r>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t>突发环境事件应急预案</w:t>
            </w:r>
            <w:r>
              <w:rPr>
                <w:rFonts w:hint="eastAsia" w:ascii="Times New Roman" w:hAnsi="Times New Roman" w:cs="Times New Roman" w:eastAsiaTheme="minorEastAsia"/>
                <w:color w:val="000000" w:themeColor="text1"/>
                <w:sz w:val="24"/>
                <w:szCs w:val="24"/>
                <w:lang w:val="en-US" w:eastAsia="zh-CN"/>
                <w14:textFill>
                  <w14:solidFill>
                    <w14:schemeClr w14:val="tx1"/>
                  </w14:solidFill>
                </w14:textFill>
              </w:rPr>
              <w:t>》取得</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备案（备案号：341021-2025-289-L）。</w:t>
            </w:r>
          </w:p>
          <w:p w14:paraId="7763B579">
            <w:pPr>
              <w:keepNext w:val="0"/>
              <w:keepLines w:val="0"/>
              <w:pageBreakBefore w:val="0"/>
              <w:widowControl/>
              <w:kinsoku/>
              <w:wordWrap/>
              <w:overflowPunct/>
              <w:topLinePunct w:val="0"/>
              <w:autoSpaceDE/>
              <w:autoSpaceDN/>
              <w:bidi w:val="0"/>
              <w:adjustRightInd w:val="0"/>
              <w:snapToGrid w:val="0"/>
              <w:spacing w:after="0" w:afterLines="0" w:line="360" w:lineRule="auto"/>
              <w:ind w:firstLine="480" w:firstLineChars="200"/>
              <w:textAlignment w:val="auto"/>
              <w:rPr>
                <w:rFonts w:hint="default"/>
                <w:lang w:val="en-US" w:eastAsia="zh-CN"/>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验收工作的开展：根据国务院第682号令《建设项目环境保护管理条例》、国环规环评</w:t>
            </w:r>
            <w:r>
              <w:rPr>
                <w:rFonts w:hint="eastAsia" w:ascii="Times New Roman" w:hAnsi="Times New Roman" w:cs="Times New Roman" w:eastAsiaTheme="minorEastAsia"/>
                <w:color w:val="auto"/>
                <w:sz w:val="24"/>
                <w:szCs w:val="24"/>
                <w:lang w:val="en-US" w:eastAsia="zh-CN"/>
              </w:rPr>
              <w:t>〔</w:t>
            </w:r>
            <w:r>
              <w:rPr>
                <w:rFonts w:hint="default" w:ascii="Times New Roman" w:hAnsi="Times New Roman" w:cs="Times New Roman" w:eastAsiaTheme="minorEastAsia"/>
                <w:color w:val="auto"/>
                <w:sz w:val="24"/>
                <w:szCs w:val="24"/>
                <w:lang w:val="en-US" w:eastAsia="zh-CN"/>
              </w:rPr>
              <w:t>20</w:t>
            </w:r>
            <w:r>
              <w:rPr>
                <w:rFonts w:hint="eastAsia" w:ascii="Times New Roman" w:hAnsi="Times New Roman" w:cs="Times New Roman" w:eastAsiaTheme="minorEastAsia"/>
                <w:color w:val="auto"/>
                <w:sz w:val="24"/>
                <w:szCs w:val="24"/>
                <w:lang w:val="en-US" w:eastAsia="zh-CN"/>
              </w:rPr>
              <w:t>17〕4号关于发布《建设项目竣工环境保护验收暂行办法》的公告等要求，2026年1月5日我司委托黄山华安测检测技术有限公司对厂区内污染物进行检测。黄山华安测检测技术有限公司于2026年1月10日至1月11日进行了现场检测。</w:t>
            </w:r>
          </w:p>
          <w:p w14:paraId="391F8A82">
            <w:pPr>
              <w:pStyle w:val="33"/>
              <w:keepNext w:val="0"/>
              <w:keepLines w:val="0"/>
              <w:pageBreakBefore w:val="0"/>
              <w:kinsoku/>
              <w:wordWrap/>
              <w:overflowPunct/>
              <w:topLinePunct w:val="0"/>
              <w:autoSpaceDE/>
              <w:autoSpaceDN/>
              <w:bidi w:val="0"/>
              <w:adjustRightInd w:val="0"/>
              <w:snapToGrid w:val="0"/>
              <w:spacing w:line="360" w:lineRule="auto"/>
              <w:ind w:firstLine="480" w:firstLineChars="200"/>
              <w:jc w:val="both"/>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2.1.2建设内容</w:t>
            </w:r>
            <w:r>
              <w:rPr>
                <w:rFonts w:hint="eastAsia" w:eastAsia="宋体" w:cs="Times New Roman"/>
                <w:color w:val="auto"/>
                <w:sz w:val="24"/>
                <w:szCs w:val="24"/>
                <w:highlight w:val="none"/>
                <w:lang w:val="en-US" w:eastAsia="zh-CN"/>
              </w:rPr>
              <w:t>（现阶段）</w:t>
            </w:r>
          </w:p>
          <w:p w14:paraId="19FD619A">
            <w:pPr>
              <w:pStyle w:val="10"/>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hint="eastAsia" w:ascii="Times New Roman" w:hAnsi="Times New Roman" w:cs="Times New Roman" w:eastAsiaTheme="minorEastAsia"/>
                <w:b w:val="0"/>
                <w:bCs w:val="0"/>
                <w:color w:val="auto"/>
                <w:sz w:val="24"/>
                <w:szCs w:val="24"/>
                <w:highlight w:val="none"/>
                <w:lang w:val="en-US" w:eastAsia="zh-CN" w:bidi="ar-SA"/>
              </w:rPr>
            </w:pPr>
            <w:r>
              <w:rPr>
                <w:rFonts w:hint="eastAsia" w:ascii="Times New Roman" w:hAnsi="Times New Roman" w:cs="Times New Roman" w:eastAsiaTheme="minorEastAsia"/>
                <w:b w:val="0"/>
                <w:bCs w:val="0"/>
                <w:color w:val="auto"/>
                <w:sz w:val="24"/>
                <w:szCs w:val="24"/>
                <w:highlight w:val="none"/>
                <w:lang w:val="en-US" w:eastAsia="zh-CN" w:bidi="ar-SA"/>
              </w:rPr>
              <w:t>项目现阶段建设内容见表2-1。</w:t>
            </w:r>
          </w:p>
          <w:p w14:paraId="4295C4F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bidi="ar-SA"/>
              </w:rPr>
            </w:pPr>
            <w:r>
              <w:rPr>
                <w:rFonts w:hint="default" w:ascii="Times New Roman" w:hAnsi="Times New Roman" w:eastAsia="宋体" w:cs="Times New Roman"/>
                <w:b/>
                <w:bCs/>
                <w:color w:val="auto"/>
                <w:sz w:val="21"/>
                <w:szCs w:val="21"/>
                <w:lang w:val="en-US" w:eastAsia="zh-CN" w:bidi="ar-SA"/>
              </w:rPr>
              <w:t>表2-1 项目（现阶段</w:t>
            </w:r>
            <w:r>
              <w:rPr>
                <w:rFonts w:hint="eastAsia" w:ascii="Times New Roman" w:hAnsi="Times New Roman" w:eastAsia="宋体" w:cs="Times New Roman"/>
                <w:b/>
                <w:bCs/>
                <w:color w:val="auto"/>
                <w:sz w:val="21"/>
                <w:szCs w:val="21"/>
                <w:lang w:val="en-US" w:eastAsia="zh-CN" w:bidi="ar-SA"/>
              </w:rPr>
              <w:t>）组成及实际</w:t>
            </w:r>
            <w:r>
              <w:rPr>
                <w:rFonts w:hint="default" w:ascii="Times New Roman" w:hAnsi="Times New Roman" w:eastAsia="宋体" w:cs="Times New Roman"/>
                <w:b/>
                <w:bCs/>
                <w:color w:val="auto"/>
                <w:sz w:val="21"/>
                <w:szCs w:val="21"/>
                <w:lang w:val="en-US" w:eastAsia="zh-CN" w:bidi="ar-SA"/>
              </w:rPr>
              <w:t>建设</w:t>
            </w:r>
            <w:r>
              <w:rPr>
                <w:rFonts w:hint="eastAsia" w:ascii="Times New Roman" w:hAnsi="Times New Roman" w:eastAsia="宋体" w:cs="Times New Roman"/>
                <w:b/>
                <w:bCs/>
                <w:color w:val="auto"/>
                <w:sz w:val="21"/>
                <w:szCs w:val="21"/>
                <w:lang w:val="en-US" w:eastAsia="zh-CN" w:bidi="ar-SA"/>
              </w:rPr>
              <w:t>项目</w:t>
            </w:r>
            <w:r>
              <w:rPr>
                <w:rFonts w:hint="default" w:ascii="Times New Roman" w:hAnsi="Times New Roman" w:eastAsia="宋体" w:cs="Times New Roman"/>
                <w:b/>
                <w:bCs/>
                <w:color w:val="auto"/>
                <w:sz w:val="21"/>
                <w:szCs w:val="21"/>
                <w:lang w:val="en-US" w:eastAsia="zh-CN" w:bidi="ar-SA"/>
              </w:rPr>
              <w:t>一览表</w:t>
            </w:r>
          </w:p>
          <w:tbl>
            <w:tblPr>
              <w:tblStyle w:val="20"/>
              <w:tblW w:w="906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4"/>
              <w:gridCol w:w="641"/>
              <w:gridCol w:w="424"/>
              <w:gridCol w:w="288"/>
              <w:gridCol w:w="656"/>
              <w:gridCol w:w="1693"/>
              <w:gridCol w:w="408"/>
              <w:gridCol w:w="2574"/>
              <w:gridCol w:w="1701"/>
            </w:tblGrid>
            <w:tr w14:paraId="1BEF1B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tcBorders>
                    <w:tl2br w:val="nil"/>
                    <w:tr2bl w:val="nil"/>
                  </w:tcBorders>
                  <w:noWrap w:val="0"/>
                  <w:vAlign w:val="center"/>
                </w:tcPr>
                <w:p w14:paraId="07CF5C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bCs/>
                      <w:color w:val="auto"/>
                      <w:spacing w:val="0"/>
                      <w:sz w:val="21"/>
                      <w:szCs w:val="21"/>
                    </w:rPr>
                  </w:pPr>
                  <w:r>
                    <w:rPr>
                      <w:rFonts w:hint="default" w:ascii="Times New Roman" w:hAnsi="Times New Roman" w:eastAsia="宋体" w:cs="Times New Roman"/>
                      <w:b/>
                      <w:bCs/>
                      <w:color w:val="auto"/>
                      <w:spacing w:val="0"/>
                      <w:sz w:val="21"/>
                      <w:szCs w:val="21"/>
                    </w:rPr>
                    <w:t>工程类别</w:t>
                  </w:r>
                </w:p>
              </w:tc>
              <w:tc>
                <w:tcPr>
                  <w:tcW w:w="353" w:type="pct"/>
                  <w:tcBorders>
                    <w:tl2br w:val="nil"/>
                    <w:tr2bl w:val="nil"/>
                  </w:tcBorders>
                  <w:noWrap w:val="0"/>
                  <w:vAlign w:val="center"/>
                </w:tcPr>
                <w:p w14:paraId="238111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bCs/>
                      <w:color w:val="auto"/>
                      <w:spacing w:val="0"/>
                      <w:sz w:val="21"/>
                      <w:szCs w:val="21"/>
                    </w:rPr>
                  </w:pPr>
                  <w:r>
                    <w:rPr>
                      <w:rFonts w:hint="default" w:ascii="Times New Roman" w:hAnsi="Times New Roman" w:eastAsia="宋体" w:cs="Times New Roman"/>
                      <w:b/>
                      <w:bCs/>
                      <w:color w:val="auto"/>
                      <w:spacing w:val="0"/>
                      <w:sz w:val="21"/>
                      <w:szCs w:val="21"/>
                    </w:rPr>
                    <w:t>工程名称</w:t>
                  </w:r>
                </w:p>
              </w:tc>
              <w:tc>
                <w:tcPr>
                  <w:tcW w:w="1687" w:type="pct"/>
                  <w:gridSpan w:val="4"/>
                  <w:tcBorders>
                    <w:tl2br w:val="nil"/>
                    <w:tr2bl w:val="nil"/>
                  </w:tcBorders>
                  <w:noWrap w:val="0"/>
                  <w:vAlign w:val="center"/>
                </w:tcPr>
                <w:p w14:paraId="41AA90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bCs/>
                      <w:color w:val="auto"/>
                      <w:spacing w:val="0"/>
                      <w:sz w:val="21"/>
                      <w:szCs w:val="21"/>
                      <w:lang w:eastAsia="zh-CN"/>
                    </w:rPr>
                  </w:pPr>
                  <w:r>
                    <w:rPr>
                      <w:rFonts w:hint="default" w:ascii="Times New Roman" w:hAnsi="Times New Roman" w:eastAsia="宋体" w:cs="Times New Roman"/>
                      <w:b/>
                      <w:bCs/>
                      <w:color w:val="auto"/>
                      <w:spacing w:val="0"/>
                      <w:sz w:val="21"/>
                      <w:szCs w:val="21"/>
                      <w:lang w:val="en-US" w:eastAsia="zh-CN"/>
                    </w:rPr>
                    <w:t>环评设计建设工程</w:t>
                  </w:r>
                </w:p>
              </w:tc>
              <w:tc>
                <w:tcPr>
                  <w:tcW w:w="1644" w:type="pct"/>
                  <w:gridSpan w:val="2"/>
                  <w:tcBorders>
                    <w:tl2br w:val="nil"/>
                    <w:tr2bl w:val="nil"/>
                  </w:tcBorders>
                  <w:noWrap w:val="0"/>
                  <w:vAlign w:val="center"/>
                </w:tcPr>
                <w:p w14:paraId="6CD287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bCs/>
                      <w:color w:val="auto"/>
                      <w:spacing w:val="0"/>
                      <w:sz w:val="21"/>
                      <w:szCs w:val="21"/>
                      <w:lang w:val="en-US" w:eastAsia="zh-CN"/>
                    </w:rPr>
                  </w:pPr>
                  <w:r>
                    <w:rPr>
                      <w:rFonts w:hint="default" w:ascii="Times New Roman" w:hAnsi="Times New Roman" w:eastAsia="宋体" w:cs="Times New Roman"/>
                      <w:b/>
                      <w:bCs/>
                      <w:color w:val="auto"/>
                      <w:spacing w:val="0"/>
                      <w:sz w:val="21"/>
                      <w:szCs w:val="21"/>
                      <w:lang w:val="en-US" w:eastAsia="zh-CN"/>
                    </w:rPr>
                    <w:t>现阶段实际建成工程</w:t>
                  </w:r>
                </w:p>
              </w:tc>
              <w:tc>
                <w:tcPr>
                  <w:tcW w:w="937" w:type="pct"/>
                  <w:tcBorders>
                    <w:tl2br w:val="nil"/>
                    <w:tr2bl w:val="nil"/>
                  </w:tcBorders>
                  <w:noWrap w:val="0"/>
                  <w:vAlign w:val="center"/>
                </w:tcPr>
                <w:p w14:paraId="4101C5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bCs/>
                      <w:color w:val="auto"/>
                      <w:spacing w:val="0"/>
                      <w:sz w:val="21"/>
                      <w:szCs w:val="21"/>
                      <w:lang w:val="en-US" w:eastAsia="zh-CN"/>
                    </w:rPr>
                  </w:pPr>
                  <w:r>
                    <w:rPr>
                      <w:rFonts w:hint="default" w:ascii="Times New Roman" w:hAnsi="Times New Roman" w:eastAsia="宋体" w:cs="Times New Roman"/>
                      <w:b/>
                      <w:bCs/>
                      <w:color w:val="auto"/>
                      <w:spacing w:val="0"/>
                      <w:sz w:val="21"/>
                      <w:szCs w:val="21"/>
                      <w:lang w:val="en-US" w:eastAsia="zh-CN"/>
                    </w:rPr>
                    <w:t>备注</w:t>
                  </w:r>
                </w:p>
              </w:tc>
            </w:tr>
            <w:tr w14:paraId="409581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50" w:hRule="atLeast"/>
              </w:trPr>
              <w:tc>
                <w:tcPr>
                  <w:tcW w:w="377" w:type="pct"/>
                  <w:vMerge w:val="restart"/>
                  <w:tcBorders>
                    <w:tl2br w:val="nil"/>
                    <w:tr2bl w:val="nil"/>
                  </w:tcBorders>
                  <w:noWrap w:val="0"/>
                  <w:vAlign w:val="center"/>
                </w:tcPr>
                <w:p w14:paraId="32D143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eastAsia="zh-CN"/>
                    </w:rPr>
                    <w:t>主体工程</w:t>
                  </w:r>
                </w:p>
              </w:tc>
              <w:tc>
                <w:tcPr>
                  <w:tcW w:w="353" w:type="pct"/>
                  <w:tcBorders>
                    <w:tl2br w:val="nil"/>
                    <w:tr2bl w:val="nil"/>
                  </w:tcBorders>
                  <w:noWrap w:val="0"/>
                  <w:vAlign w:val="center"/>
                </w:tcPr>
                <w:p w14:paraId="63D8AA4A">
                  <w:pPr>
                    <w:pStyle w:val="9"/>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1#生产车间</w:t>
                  </w:r>
                </w:p>
              </w:tc>
              <w:tc>
                <w:tcPr>
                  <w:tcW w:w="392" w:type="pct"/>
                  <w:gridSpan w:val="2"/>
                  <w:vMerge w:val="restart"/>
                  <w:tcBorders>
                    <w:tl2br w:val="nil"/>
                    <w:tr2bl w:val="nil"/>
                  </w:tcBorders>
                  <w:noWrap w:val="0"/>
                  <w:vAlign w:val="center"/>
                </w:tcPr>
                <w:p w14:paraId="34F50726">
                  <w:pPr>
                    <w:pStyle w:val="9"/>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kern w:val="2"/>
                      <w:sz w:val="21"/>
                      <w:szCs w:val="24"/>
                      <w:lang w:val="en-US" w:eastAsia="zh-CN" w:bidi="ar-SA"/>
                    </w:rPr>
                    <w:t>生产</w:t>
                  </w:r>
                  <w:r>
                    <w:rPr>
                      <w:rFonts w:hint="eastAsia" w:ascii="Times New Roman" w:hAnsi="Times New Roman" w:eastAsia="宋体" w:cs="Times New Roman"/>
                      <w:color w:val="auto"/>
                      <w:kern w:val="2"/>
                      <w:sz w:val="21"/>
                      <w:szCs w:val="24"/>
                      <w:lang w:val="en-US" w:eastAsia="zh-CN" w:bidi="ar-SA"/>
                    </w:rPr>
                    <w:t>1.2亿</w:t>
                  </w:r>
                  <w:r>
                    <w:rPr>
                      <w:rFonts w:hint="default" w:ascii="Times New Roman" w:hAnsi="Times New Roman" w:eastAsia="宋体" w:cs="Times New Roman"/>
                      <w:color w:val="auto"/>
                      <w:kern w:val="2"/>
                      <w:sz w:val="21"/>
                      <w:szCs w:val="24"/>
                      <w:lang w:val="en-US" w:eastAsia="zh-CN" w:bidi="ar-SA"/>
                    </w:rPr>
                    <w:t>平方米PVC</w:t>
                  </w:r>
                  <w:r>
                    <w:rPr>
                      <w:rFonts w:hint="eastAsia" w:ascii="Times New Roman" w:hAnsi="Times New Roman" w:eastAsia="宋体" w:cs="Times New Roman"/>
                      <w:color w:val="auto"/>
                      <w:kern w:val="2"/>
                      <w:sz w:val="21"/>
                      <w:szCs w:val="24"/>
                      <w:lang w:val="en-US" w:eastAsia="zh-CN" w:bidi="ar-SA"/>
                    </w:rPr>
                    <w:t>保护膜</w:t>
                  </w:r>
                </w:p>
              </w:tc>
              <w:tc>
                <w:tcPr>
                  <w:tcW w:w="1295" w:type="pct"/>
                  <w:gridSpan w:val="2"/>
                  <w:tcBorders>
                    <w:tl2br w:val="nil"/>
                    <w:tr2bl w:val="nil"/>
                  </w:tcBorders>
                  <w:shd w:val="clear" w:color="auto" w:fill="auto"/>
                  <w:noWrap w:val="0"/>
                  <w:vAlign w:val="center"/>
                </w:tcPr>
                <w:p w14:paraId="59898830">
                  <w:pPr>
                    <w:pStyle w:val="9"/>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位于厂区中部，1F，建筑面积2616m</w:t>
                  </w:r>
                  <w:r>
                    <w:rPr>
                      <w:rFonts w:hint="default" w:ascii="Times New Roman" w:hAnsi="Times New Roman" w:eastAsia="宋体" w:cs="Times New Roman"/>
                      <w:color w:val="auto"/>
                      <w:sz w:val="21"/>
                      <w:szCs w:val="21"/>
                      <w:highlight w:val="none"/>
                      <w:vertAlign w:val="superscript"/>
                      <w:lang w:val="en-US" w:eastAsia="zh-CN" w:bidi="ar-SA"/>
                    </w:rPr>
                    <w:t>2</w:t>
                  </w:r>
                  <w:r>
                    <w:rPr>
                      <w:rFonts w:hint="default" w:ascii="Times New Roman" w:hAnsi="Times New Roman" w:eastAsia="宋体" w:cs="Times New Roman"/>
                      <w:color w:val="auto"/>
                      <w:sz w:val="21"/>
                      <w:szCs w:val="21"/>
                      <w:highlight w:val="none"/>
                      <w:lang w:val="en-US" w:eastAsia="zh-CN" w:bidi="ar-SA"/>
                    </w:rPr>
                    <w:t>，建设有配胶室、涂布生产线并配套3条烘干线、印刷生产线、烘房等，主要设备有搅拌机、涂布机、印刷机、电热风炉等</w:t>
                  </w:r>
                </w:p>
              </w:tc>
              <w:tc>
                <w:tcPr>
                  <w:tcW w:w="1644" w:type="pct"/>
                  <w:gridSpan w:val="2"/>
                  <w:tcBorders>
                    <w:tl2br w:val="nil"/>
                    <w:tr2bl w:val="nil"/>
                  </w:tcBorders>
                  <w:noWrap w:val="0"/>
                  <w:vAlign w:val="center"/>
                </w:tcPr>
                <w:p w14:paraId="68CAFB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z w:val="21"/>
                      <w:szCs w:val="21"/>
                      <w:highlight w:val="none"/>
                      <w:lang w:val="en-US" w:eastAsia="zh-CN" w:bidi="ar-SA"/>
                    </w:rPr>
                    <w:t>位于厂区中部，1F，建筑面积26</w:t>
                  </w:r>
                  <w:r>
                    <w:rPr>
                      <w:rFonts w:hint="eastAsia" w:ascii="Times New Roman" w:hAnsi="Times New Roman" w:eastAsia="宋体" w:cs="Times New Roman"/>
                      <w:color w:val="auto"/>
                      <w:sz w:val="21"/>
                      <w:szCs w:val="21"/>
                      <w:highlight w:val="none"/>
                      <w:lang w:val="en-US" w:eastAsia="zh-CN" w:bidi="ar-SA"/>
                    </w:rPr>
                    <w:t>07.36</w:t>
                  </w:r>
                  <w:r>
                    <w:rPr>
                      <w:rFonts w:hint="default" w:ascii="Times New Roman" w:hAnsi="Times New Roman" w:eastAsia="宋体" w:cs="Times New Roman"/>
                      <w:color w:val="auto"/>
                      <w:sz w:val="21"/>
                      <w:szCs w:val="21"/>
                      <w:highlight w:val="none"/>
                      <w:lang w:val="en-US" w:eastAsia="zh-CN" w:bidi="ar-SA"/>
                    </w:rPr>
                    <w:t>m</w:t>
                  </w:r>
                  <w:r>
                    <w:rPr>
                      <w:rFonts w:hint="default" w:ascii="Times New Roman" w:hAnsi="Times New Roman" w:eastAsia="宋体" w:cs="Times New Roman"/>
                      <w:color w:val="auto"/>
                      <w:sz w:val="21"/>
                      <w:szCs w:val="21"/>
                      <w:highlight w:val="none"/>
                      <w:vertAlign w:val="superscript"/>
                      <w:lang w:val="en-US" w:eastAsia="zh-CN" w:bidi="ar-SA"/>
                    </w:rPr>
                    <w:t>2</w:t>
                  </w:r>
                  <w:r>
                    <w:rPr>
                      <w:rFonts w:hint="default" w:ascii="Times New Roman" w:hAnsi="Times New Roman" w:eastAsia="宋体" w:cs="Times New Roman"/>
                      <w:color w:val="auto"/>
                      <w:sz w:val="21"/>
                      <w:szCs w:val="21"/>
                      <w:highlight w:val="none"/>
                      <w:lang w:val="en-US" w:eastAsia="zh-CN" w:bidi="ar-SA"/>
                    </w:rPr>
                    <w:t>，建设有配胶室、涂布生产线、印刷生产线等，主要设备有搅拌机、涂布机、印刷机等</w:t>
                  </w:r>
                  <w:r>
                    <w:rPr>
                      <w:rFonts w:hint="eastAsia" w:ascii="Times New Roman" w:hAnsi="Times New Roman" w:eastAsia="宋体" w:cs="Times New Roman"/>
                      <w:color w:val="auto"/>
                      <w:sz w:val="21"/>
                      <w:szCs w:val="21"/>
                      <w:highlight w:val="none"/>
                      <w:lang w:val="en-US" w:eastAsia="zh-CN" w:bidi="ar-SA"/>
                    </w:rPr>
                    <w:t>，实际</w:t>
                  </w:r>
                  <w:r>
                    <w:rPr>
                      <w:rFonts w:hint="default" w:ascii="Times New Roman" w:hAnsi="Times New Roman" w:eastAsia="宋体" w:cs="Times New Roman"/>
                      <w:color w:val="auto"/>
                      <w:kern w:val="2"/>
                      <w:sz w:val="21"/>
                      <w:szCs w:val="24"/>
                      <w:lang w:val="en-US" w:eastAsia="zh-CN" w:bidi="ar-SA"/>
                    </w:rPr>
                    <w:t>生产</w:t>
                  </w:r>
                  <w:r>
                    <w:rPr>
                      <w:rFonts w:hint="eastAsia" w:ascii="Times New Roman" w:hAnsi="Times New Roman" w:eastAsia="宋体" w:cs="Times New Roman"/>
                      <w:color w:val="auto"/>
                      <w:kern w:val="2"/>
                      <w:sz w:val="21"/>
                      <w:szCs w:val="24"/>
                      <w:lang w:val="en-US" w:eastAsia="zh-CN" w:bidi="ar-SA"/>
                    </w:rPr>
                    <w:t>4000万</w:t>
                  </w:r>
                  <w:r>
                    <w:rPr>
                      <w:rFonts w:hint="default" w:ascii="Times New Roman" w:hAnsi="Times New Roman" w:eastAsia="宋体" w:cs="Times New Roman"/>
                      <w:color w:val="auto"/>
                      <w:kern w:val="2"/>
                      <w:sz w:val="21"/>
                      <w:szCs w:val="24"/>
                      <w:lang w:val="en-US" w:eastAsia="zh-CN" w:bidi="ar-SA"/>
                    </w:rPr>
                    <w:t>平方米PVC</w:t>
                  </w:r>
                  <w:r>
                    <w:rPr>
                      <w:rFonts w:hint="eastAsia" w:ascii="Times New Roman" w:hAnsi="Times New Roman" w:eastAsia="宋体" w:cs="Times New Roman"/>
                      <w:color w:val="auto"/>
                      <w:kern w:val="2"/>
                      <w:sz w:val="21"/>
                      <w:szCs w:val="24"/>
                      <w:lang w:val="en-US" w:eastAsia="zh-CN" w:bidi="ar-SA"/>
                    </w:rPr>
                    <w:t>保护膜</w:t>
                  </w:r>
                </w:p>
              </w:tc>
              <w:tc>
                <w:tcPr>
                  <w:tcW w:w="937" w:type="pct"/>
                  <w:tcBorders>
                    <w:tl2br w:val="nil"/>
                    <w:tr2bl w:val="nil"/>
                  </w:tcBorders>
                  <w:noWrap w:val="0"/>
                  <w:vAlign w:val="center"/>
                </w:tcPr>
                <w:p w14:paraId="7AAE34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pacing w:val="0"/>
                      <w:sz w:val="21"/>
                      <w:szCs w:val="21"/>
                      <w:lang w:val="en-US" w:eastAsia="zh-CN"/>
                    </w:rPr>
                  </w:pPr>
                  <w:r>
                    <w:rPr>
                      <w:rFonts w:hint="default" w:ascii="Times New Roman" w:hAnsi="Times New Roman" w:eastAsia="宋体" w:cs="Times New Roman"/>
                      <w:color w:val="auto"/>
                      <w:kern w:val="2"/>
                      <w:sz w:val="21"/>
                      <w:szCs w:val="21"/>
                      <w:lang w:val="en-US" w:eastAsia="zh-CN" w:bidi="ar-SA"/>
                    </w:rPr>
                    <w:t>烘房暂未建设，不在本次验收范围内。涂布机、印刷机设备配套烘箱进行烘干工序，无电热风炉</w:t>
                  </w:r>
                </w:p>
              </w:tc>
            </w:tr>
            <w:tr w14:paraId="5F25F6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32769B52">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textAlignment w:val="auto"/>
                    <w:rPr>
                      <w:rFonts w:hint="default" w:ascii="Times New Roman" w:hAnsi="Times New Roman" w:eastAsia="宋体" w:cs="Times New Roman"/>
                      <w:color w:val="auto"/>
                      <w:sz w:val="21"/>
                      <w:szCs w:val="21"/>
                    </w:rPr>
                  </w:pPr>
                </w:p>
              </w:tc>
              <w:tc>
                <w:tcPr>
                  <w:tcW w:w="353" w:type="pct"/>
                  <w:tcBorders>
                    <w:tl2br w:val="nil"/>
                    <w:tr2bl w:val="nil"/>
                  </w:tcBorders>
                  <w:noWrap w:val="0"/>
                  <w:vAlign w:val="center"/>
                </w:tcPr>
                <w:p w14:paraId="29C96E2D">
                  <w:pPr>
                    <w:pStyle w:val="9"/>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2#生产车间</w:t>
                  </w:r>
                </w:p>
              </w:tc>
              <w:tc>
                <w:tcPr>
                  <w:tcW w:w="392" w:type="pct"/>
                  <w:gridSpan w:val="2"/>
                  <w:vMerge w:val="continue"/>
                  <w:tcBorders>
                    <w:tl2br w:val="nil"/>
                    <w:tr2bl w:val="nil"/>
                  </w:tcBorders>
                  <w:noWrap w:val="0"/>
                  <w:vAlign w:val="center"/>
                </w:tcPr>
                <w:p w14:paraId="3E5E380E">
                  <w:pPr>
                    <w:pStyle w:val="9"/>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p>
              </w:tc>
              <w:tc>
                <w:tcPr>
                  <w:tcW w:w="1295" w:type="pct"/>
                  <w:gridSpan w:val="2"/>
                  <w:tcBorders>
                    <w:tl2br w:val="nil"/>
                    <w:tr2bl w:val="nil"/>
                  </w:tcBorders>
                  <w:shd w:val="clear" w:color="auto" w:fill="auto"/>
                  <w:noWrap w:val="0"/>
                  <w:vAlign w:val="center"/>
                </w:tcPr>
                <w:p w14:paraId="46E34DE1">
                  <w:pPr>
                    <w:pStyle w:val="9"/>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位于厂区中部，1F，建筑面积2616m</w:t>
                  </w:r>
                  <w:r>
                    <w:rPr>
                      <w:rFonts w:hint="default" w:ascii="Times New Roman" w:hAnsi="Times New Roman" w:eastAsia="宋体" w:cs="Times New Roman"/>
                      <w:color w:val="auto"/>
                      <w:sz w:val="21"/>
                      <w:szCs w:val="21"/>
                      <w:highlight w:val="none"/>
                      <w:vertAlign w:val="superscript"/>
                      <w:lang w:val="en-US" w:eastAsia="zh-CN" w:bidi="ar-SA"/>
                    </w:rPr>
                    <w:t>2</w:t>
                  </w:r>
                  <w:r>
                    <w:rPr>
                      <w:rFonts w:hint="default" w:ascii="Times New Roman" w:hAnsi="Times New Roman" w:eastAsia="宋体" w:cs="Times New Roman"/>
                      <w:color w:val="auto"/>
                      <w:sz w:val="21"/>
                      <w:szCs w:val="21"/>
                      <w:highlight w:val="none"/>
                      <w:lang w:val="en-US" w:eastAsia="zh-CN" w:bidi="ar-SA"/>
                    </w:rPr>
                    <w:t>，建设有配胶室、涂布生产线并配套3条烘干线、印刷生产线、烘房等，主要设备有搅拌机、涂布机、印刷机、电热风炉等</w:t>
                  </w:r>
                </w:p>
              </w:tc>
              <w:tc>
                <w:tcPr>
                  <w:tcW w:w="1644" w:type="pct"/>
                  <w:gridSpan w:val="2"/>
                  <w:tcBorders>
                    <w:tl2br w:val="nil"/>
                    <w:tr2bl w:val="nil"/>
                  </w:tcBorders>
                  <w:shd w:val="clear" w:color="auto" w:fill="auto"/>
                  <w:noWrap w:val="0"/>
                  <w:vAlign w:val="center"/>
                </w:tcPr>
                <w:p w14:paraId="42AEA737">
                  <w:pPr>
                    <w:pStyle w:val="9"/>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位于厂区中部，1F，建筑面积26</w:t>
                  </w:r>
                  <w:r>
                    <w:rPr>
                      <w:rFonts w:hint="eastAsia" w:ascii="Times New Roman" w:hAnsi="Times New Roman" w:eastAsia="宋体" w:cs="Times New Roman"/>
                      <w:color w:val="auto"/>
                      <w:sz w:val="21"/>
                      <w:szCs w:val="21"/>
                      <w:highlight w:val="none"/>
                      <w:lang w:val="en-US" w:eastAsia="zh-CN" w:bidi="ar-SA"/>
                    </w:rPr>
                    <w:t>07.36</w:t>
                  </w:r>
                  <w:r>
                    <w:rPr>
                      <w:rFonts w:hint="default" w:ascii="Times New Roman" w:hAnsi="Times New Roman" w:eastAsia="宋体" w:cs="Times New Roman"/>
                      <w:color w:val="auto"/>
                      <w:sz w:val="21"/>
                      <w:szCs w:val="21"/>
                      <w:highlight w:val="none"/>
                      <w:lang w:val="en-US" w:eastAsia="zh-CN" w:bidi="ar-SA"/>
                    </w:rPr>
                    <w:t>m</w:t>
                  </w:r>
                  <w:r>
                    <w:rPr>
                      <w:rFonts w:hint="default" w:ascii="Times New Roman" w:hAnsi="Times New Roman" w:eastAsia="宋体" w:cs="Times New Roman"/>
                      <w:color w:val="auto"/>
                      <w:sz w:val="21"/>
                      <w:szCs w:val="21"/>
                      <w:highlight w:val="none"/>
                      <w:vertAlign w:val="superscript"/>
                      <w:lang w:val="en-US" w:eastAsia="zh-CN" w:bidi="ar-SA"/>
                    </w:rPr>
                    <w:t>2</w:t>
                  </w:r>
                  <w:r>
                    <w:rPr>
                      <w:rFonts w:hint="default" w:ascii="Times New Roman" w:hAnsi="Times New Roman" w:eastAsia="宋体" w:cs="Times New Roman"/>
                      <w:color w:val="auto"/>
                      <w:sz w:val="21"/>
                      <w:szCs w:val="21"/>
                      <w:highlight w:val="none"/>
                      <w:lang w:val="en-US" w:eastAsia="zh-CN" w:bidi="ar-SA"/>
                    </w:rPr>
                    <w:t>，现阶段一部分出租（面积2106.42m²），用于承租方原材料、产成品仓储（不含危险化学品）；一部分作为原料仓库（面积479.58m²）和危废暂存间（车间西北角，面积30m²）自用</w:t>
                  </w:r>
                </w:p>
              </w:tc>
              <w:tc>
                <w:tcPr>
                  <w:tcW w:w="937" w:type="pct"/>
                  <w:tcBorders>
                    <w:tl2br w:val="nil"/>
                    <w:tr2bl w:val="nil"/>
                  </w:tcBorders>
                  <w:noWrap w:val="0"/>
                  <w:vAlign w:val="center"/>
                </w:tcPr>
                <w:p w14:paraId="568EB749">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 w:val="0"/>
                      <w:bCs w:val="0"/>
                      <w:color w:val="auto"/>
                      <w:sz w:val="21"/>
                      <w:szCs w:val="21"/>
                      <w:lang w:val="en-US" w:eastAsia="zh-CN"/>
                    </w:rPr>
                    <w:t>2#生产车间</w:t>
                  </w:r>
                  <w:r>
                    <w:rPr>
                      <w:rFonts w:hint="default" w:ascii="Times New Roman" w:hAnsi="Times New Roman" w:eastAsia="宋体" w:cs="Times New Roman"/>
                      <w:color w:val="auto"/>
                      <w:sz w:val="21"/>
                      <w:szCs w:val="21"/>
                      <w:highlight w:val="none"/>
                      <w:lang w:val="en-US" w:eastAsia="zh-CN" w:bidi="ar-SA"/>
                    </w:rPr>
                    <w:t>现阶段一部分</w:t>
                  </w:r>
                  <w:r>
                    <w:rPr>
                      <w:rFonts w:hint="eastAsia" w:ascii="Times New Roman" w:hAnsi="Times New Roman" w:eastAsia="宋体" w:cs="Times New Roman"/>
                      <w:color w:val="auto"/>
                      <w:sz w:val="21"/>
                      <w:szCs w:val="21"/>
                      <w:highlight w:val="none"/>
                      <w:lang w:val="en-US" w:eastAsia="zh-CN" w:bidi="ar-SA"/>
                    </w:rPr>
                    <w:t>用于</w:t>
                  </w:r>
                  <w:r>
                    <w:rPr>
                      <w:rFonts w:hint="default" w:ascii="Times New Roman" w:hAnsi="Times New Roman" w:eastAsia="宋体" w:cs="Times New Roman"/>
                      <w:color w:val="auto"/>
                      <w:sz w:val="21"/>
                      <w:szCs w:val="21"/>
                      <w:highlight w:val="none"/>
                      <w:lang w:val="en-US" w:eastAsia="zh-CN" w:bidi="ar-SA"/>
                    </w:rPr>
                    <w:t>出租，</w:t>
                  </w:r>
                  <w:r>
                    <w:rPr>
                      <w:rFonts w:hint="eastAsia" w:ascii="Times New Roman" w:hAnsi="Times New Roman" w:eastAsia="宋体" w:cs="Times New Roman"/>
                      <w:color w:val="auto"/>
                      <w:sz w:val="21"/>
                      <w:szCs w:val="21"/>
                      <w:highlight w:val="none"/>
                      <w:lang w:val="en-US" w:eastAsia="zh-CN" w:bidi="ar-SA"/>
                    </w:rPr>
                    <w:t>不在本次验收范围内；</w:t>
                  </w:r>
                  <w:r>
                    <w:rPr>
                      <w:rFonts w:hint="default" w:ascii="Times New Roman" w:hAnsi="Times New Roman" w:eastAsia="宋体" w:cs="Times New Roman"/>
                      <w:color w:val="auto"/>
                      <w:sz w:val="21"/>
                      <w:szCs w:val="21"/>
                      <w:highlight w:val="none"/>
                      <w:lang w:val="en-US" w:eastAsia="zh-CN" w:bidi="ar-SA"/>
                    </w:rPr>
                    <w:t>一部分自用（新建危废暂存间）</w:t>
                  </w:r>
                  <w:r>
                    <w:rPr>
                      <w:rFonts w:hint="default" w:ascii="Times New Roman" w:hAnsi="Times New Roman" w:eastAsia="宋体" w:cs="Times New Roman"/>
                      <w:b w:val="0"/>
                      <w:bCs w:val="0"/>
                      <w:color w:val="auto"/>
                      <w:sz w:val="21"/>
                      <w:szCs w:val="21"/>
                      <w:lang w:val="en-US" w:eastAsia="zh-CN"/>
                    </w:rPr>
                    <w:t>，生产线</w:t>
                  </w:r>
                  <w:r>
                    <w:rPr>
                      <w:rFonts w:hint="default" w:ascii="Times New Roman" w:hAnsi="Times New Roman" w:eastAsia="宋体" w:cs="Times New Roman"/>
                      <w:color w:val="auto"/>
                      <w:spacing w:val="0"/>
                      <w:sz w:val="21"/>
                      <w:szCs w:val="21"/>
                      <w:lang w:val="en-US" w:eastAsia="zh-CN"/>
                    </w:rPr>
                    <w:t>暂未建设</w:t>
                  </w:r>
                </w:p>
              </w:tc>
            </w:tr>
            <w:tr w14:paraId="2995FD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0DA027F0">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textAlignment w:val="auto"/>
                    <w:rPr>
                      <w:rFonts w:hint="default" w:ascii="Times New Roman" w:hAnsi="Times New Roman" w:eastAsia="宋体" w:cs="Times New Roman"/>
                      <w:bCs/>
                      <w:color w:val="FF0000"/>
                      <w:sz w:val="21"/>
                      <w:szCs w:val="21"/>
                    </w:rPr>
                  </w:pPr>
                </w:p>
              </w:tc>
              <w:tc>
                <w:tcPr>
                  <w:tcW w:w="353" w:type="pct"/>
                  <w:tcBorders>
                    <w:tl2br w:val="nil"/>
                    <w:tr2bl w:val="nil"/>
                  </w:tcBorders>
                  <w:noWrap w:val="0"/>
                  <w:vAlign w:val="center"/>
                </w:tcPr>
                <w:p w14:paraId="7DFC8479">
                  <w:pPr>
                    <w:pStyle w:val="9"/>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研发楼</w:t>
                  </w:r>
                </w:p>
              </w:tc>
              <w:tc>
                <w:tcPr>
                  <w:tcW w:w="1687" w:type="pct"/>
                  <w:gridSpan w:val="4"/>
                  <w:tcBorders>
                    <w:tl2br w:val="nil"/>
                    <w:tr2bl w:val="nil"/>
                  </w:tcBorders>
                  <w:noWrap w:val="0"/>
                  <w:vAlign w:val="center"/>
                </w:tcPr>
                <w:p w14:paraId="469E5B4D">
                  <w:pPr>
                    <w:pStyle w:val="9"/>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位于厂区东北侧，5F，建筑面积1740m</w:t>
                  </w:r>
                  <w:r>
                    <w:rPr>
                      <w:rFonts w:hint="default" w:ascii="Times New Roman" w:hAnsi="Times New Roman" w:eastAsia="宋体" w:cs="Times New Roman"/>
                      <w:color w:val="auto"/>
                      <w:sz w:val="21"/>
                      <w:szCs w:val="21"/>
                      <w:highlight w:val="none"/>
                      <w:vertAlign w:val="superscript"/>
                      <w:lang w:val="en-US" w:eastAsia="zh-CN" w:bidi="ar-SA"/>
                    </w:rPr>
                    <w:t>2</w:t>
                  </w:r>
                  <w:r>
                    <w:rPr>
                      <w:rFonts w:hint="default" w:ascii="Times New Roman" w:hAnsi="Times New Roman" w:eastAsia="宋体" w:cs="Times New Roman"/>
                      <w:color w:val="auto"/>
                      <w:sz w:val="21"/>
                      <w:szCs w:val="21"/>
                      <w:highlight w:val="none"/>
                      <w:lang w:val="en-US" w:eastAsia="zh-CN" w:bidi="ar-SA"/>
                    </w:rPr>
                    <w:t>，主要用于后期产品研发</w:t>
                  </w:r>
                </w:p>
              </w:tc>
              <w:tc>
                <w:tcPr>
                  <w:tcW w:w="1644" w:type="pct"/>
                  <w:gridSpan w:val="2"/>
                  <w:tcBorders>
                    <w:tl2br w:val="nil"/>
                    <w:tr2bl w:val="nil"/>
                  </w:tcBorders>
                  <w:noWrap w:val="0"/>
                  <w:vAlign w:val="center"/>
                </w:tcPr>
                <w:p w14:paraId="3008C899">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lang w:eastAsia="zh-CN"/>
                    </w:rPr>
                    <w:t>现阶段暂未建设</w:t>
                  </w:r>
                </w:p>
              </w:tc>
              <w:tc>
                <w:tcPr>
                  <w:tcW w:w="937" w:type="pct"/>
                  <w:tcBorders>
                    <w:tl2br w:val="nil"/>
                    <w:tr2bl w:val="nil"/>
                  </w:tcBorders>
                  <w:noWrap w:val="0"/>
                  <w:vAlign w:val="center"/>
                </w:tcPr>
                <w:p w14:paraId="603273EF">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pacing w:val="0"/>
                      <w:sz w:val="21"/>
                      <w:szCs w:val="21"/>
                      <w:lang w:val="en-US" w:eastAsia="zh-CN"/>
                    </w:rPr>
                    <w:t>暂未建设，不在本次验收范围</w:t>
                  </w:r>
                </w:p>
              </w:tc>
            </w:tr>
            <w:tr w14:paraId="4154A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tcBorders>
                    <w:tl2br w:val="nil"/>
                    <w:tr2bl w:val="nil"/>
                  </w:tcBorders>
                  <w:noWrap w:val="0"/>
                  <w:vAlign w:val="center"/>
                </w:tcPr>
                <w:p w14:paraId="10278AA2">
                  <w:pPr>
                    <w:widowControl w:val="0"/>
                    <w:jc w:val="center"/>
                    <w:rPr>
                      <w:rFonts w:hint="default" w:ascii="Times New Roman" w:hAnsi="Times New Roman" w:eastAsia="宋体" w:cs="Times New Roman"/>
                      <w:b w:val="0"/>
                      <w:bCs w:val="0"/>
                      <w:color w:val="FF0000"/>
                      <w:spacing w:val="0"/>
                      <w:sz w:val="21"/>
                      <w:szCs w:val="21"/>
                      <w:lang w:val="en-US" w:eastAsia="zh-CN"/>
                    </w:rPr>
                  </w:pPr>
                  <w:r>
                    <w:rPr>
                      <w:rFonts w:hint="default" w:ascii="Times New Roman" w:hAnsi="Times New Roman" w:eastAsia="宋体" w:cs="Times New Roman"/>
                      <w:color w:val="auto"/>
                      <w:sz w:val="21"/>
                      <w:szCs w:val="21"/>
                    </w:rPr>
                    <w:t>辅助工程</w:t>
                  </w:r>
                </w:p>
              </w:tc>
              <w:tc>
                <w:tcPr>
                  <w:tcW w:w="353" w:type="pct"/>
                  <w:tcBorders>
                    <w:tl2br w:val="nil"/>
                    <w:tr2bl w:val="nil"/>
                  </w:tcBorders>
                  <w:noWrap w:val="0"/>
                  <w:vAlign w:val="center"/>
                </w:tcPr>
                <w:p w14:paraId="6DE2717A">
                  <w:pPr>
                    <w:pStyle w:val="9"/>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综合楼</w:t>
                  </w:r>
                </w:p>
              </w:tc>
              <w:tc>
                <w:tcPr>
                  <w:tcW w:w="1687" w:type="pct"/>
                  <w:gridSpan w:val="4"/>
                  <w:tcBorders>
                    <w:tl2br w:val="nil"/>
                    <w:tr2bl w:val="nil"/>
                  </w:tcBorders>
                  <w:noWrap w:val="0"/>
                  <w:vAlign w:val="center"/>
                </w:tcPr>
                <w:p w14:paraId="39A24576">
                  <w:pPr>
                    <w:pStyle w:val="9"/>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SA"/>
                    </w:rPr>
                    <w:t>位于厂区西北侧，5F，建筑面积2328m</w:t>
                  </w:r>
                  <w:r>
                    <w:rPr>
                      <w:rFonts w:hint="default" w:ascii="Times New Roman" w:hAnsi="Times New Roman" w:eastAsia="宋体" w:cs="Times New Roman"/>
                      <w:color w:val="auto"/>
                      <w:sz w:val="21"/>
                      <w:szCs w:val="21"/>
                      <w:highlight w:val="none"/>
                      <w:vertAlign w:val="superscript"/>
                      <w:lang w:val="en-US" w:eastAsia="zh-CN" w:bidi="ar-SA"/>
                    </w:rPr>
                    <w:t>2</w:t>
                  </w:r>
                  <w:r>
                    <w:rPr>
                      <w:rFonts w:hint="default" w:ascii="Times New Roman" w:hAnsi="Times New Roman" w:eastAsia="宋体" w:cs="Times New Roman"/>
                      <w:color w:val="auto"/>
                      <w:sz w:val="21"/>
                      <w:szCs w:val="21"/>
                      <w:highlight w:val="none"/>
                      <w:lang w:val="en-US" w:eastAsia="zh-CN" w:bidi="ar-SA"/>
                    </w:rPr>
                    <w:t>，主要用于办公</w:t>
                  </w:r>
                </w:p>
              </w:tc>
              <w:tc>
                <w:tcPr>
                  <w:tcW w:w="1644" w:type="pct"/>
                  <w:gridSpan w:val="2"/>
                  <w:tcBorders>
                    <w:tl2br w:val="nil"/>
                    <w:tr2bl w:val="nil"/>
                  </w:tcBorders>
                  <w:noWrap w:val="0"/>
                  <w:vAlign w:val="center"/>
                </w:tcPr>
                <w:p w14:paraId="2391ED48">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Cs/>
                      <w:color w:val="auto"/>
                      <w:sz w:val="21"/>
                      <w:szCs w:val="21"/>
                      <w:lang w:eastAsia="zh-CN"/>
                    </w:rPr>
                    <w:t>现阶段暂未建设</w:t>
                  </w:r>
                </w:p>
              </w:tc>
              <w:tc>
                <w:tcPr>
                  <w:tcW w:w="937" w:type="pct"/>
                  <w:tcBorders>
                    <w:tl2br w:val="nil"/>
                    <w:tr2bl w:val="nil"/>
                  </w:tcBorders>
                  <w:noWrap w:val="0"/>
                  <w:vAlign w:val="center"/>
                </w:tcPr>
                <w:p w14:paraId="303B3610">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val="en-US" w:eastAsia="zh-CN"/>
                    </w:rPr>
                    <w:t>暂未建设，不在本次验收范围</w:t>
                  </w:r>
                </w:p>
              </w:tc>
            </w:tr>
            <w:tr w14:paraId="66EC6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restart"/>
                  <w:tcBorders>
                    <w:tl2br w:val="nil"/>
                    <w:tr2bl w:val="nil"/>
                  </w:tcBorders>
                  <w:noWrap w:val="0"/>
                  <w:vAlign w:val="center"/>
                </w:tcPr>
                <w:p w14:paraId="6D9F69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FF0000"/>
                      <w:spacing w:val="0"/>
                      <w:sz w:val="21"/>
                      <w:szCs w:val="21"/>
                      <w:lang w:eastAsia="zh-CN"/>
                    </w:rPr>
                  </w:pPr>
                  <w:r>
                    <w:rPr>
                      <w:rFonts w:hint="default" w:ascii="Times New Roman" w:hAnsi="Times New Roman" w:eastAsia="宋体" w:cs="Times New Roman"/>
                      <w:b w:val="0"/>
                      <w:bCs w:val="0"/>
                      <w:color w:val="auto"/>
                      <w:spacing w:val="0"/>
                      <w:sz w:val="21"/>
                      <w:szCs w:val="21"/>
                      <w:lang w:val="en-US" w:eastAsia="zh-CN"/>
                    </w:rPr>
                    <w:t>储运工程</w:t>
                  </w:r>
                </w:p>
              </w:tc>
              <w:tc>
                <w:tcPr>
                  <w:tcW w:w="353" w:type="pct"/>
                  <w:tcBorders>
                    <w:tl2br w:val="nil"/>
                    <w:tr2bl w:val="nil"/>
                  </w:tcBorders>
                  <w:noWrap w:val="0"/>
                  <w:vAlign w:val="center"/>
                </w:tcPr>
                <w:p w14:paraId="0A7ECF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1#仓库</w:t>
                  </w:r>
                </w:p>
              </w:tc>
              <w:tc>
                <w:tcPr>
                  <w:tcW w:w="1687" w:type="pct"/>
                  <w:gridSpan w:val="4"/>
                  <w:tcBorders>
                    <w:tl2br w:val="nil"/>
                    <w:tr2bl w:val="nil"/>
                  </w:tcBorders>
                  <w:noWrap w:val="0"/>
                  <w:vAlign w:val="center"/>
                </w:tcPr>
                <w:p w14:paraId="36434D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位于厂区东南侧，1F，建筑面积1194m</w:t>
                  </w:r>
                  <w:r>
                    <w:rPr>
                      <w:rFonts w:hint="default" w:ascii="Times New Roman" w:hAnsi="Times New Roman" w:eastAsia="宋体" w:cs="Times New Roman"/>
                      <w:color w:val="auto"/>
                      <w:sz w:val="21"/>
                      <w:szCs w:val="21"/>
                      <w:highlight w:val="none"/>
                      <w:vertAlign w:val="superscript"/>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，主要用于产品及原辅料存储</w:t>
                  </w:r>
                </w:p>
              </w:tc>
              <w:tc>
                <w:tcPr>
                  <w:tcW w:w="1644" w:type="pct"/>
                  <w:gridSpan w:val="2"/>
                  <w:tcBorders>
                    <w:tl2br w:val="nil"/>
                    <w:tr2bl w:val="nil"/>
                  </w:tcBorders>
                  <w:noWrap w:val="0"/>
                  <w:vAlign w:val="center"/>
                </w:tcPr>
                <w:p w14:paraId="581023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pacing w:val="0"/>
                      <w:sz w:val="21"/>
                      <w:szCs w:val="21"/>
                      <w:lang w:val="en-US" w:eastAsia="zh-CN"/>
                    </w:rPr>
                  </w:pPr>
                  <w:r>
                    <w:rPr>
                      <w:rFonts w:hint="default" w:ascii="Times New Roman" w:hAnsi="Times New Roman" w:eastAsia="宋体" w:cs="Times New Roman"/>
                      <w:color w:val="auto"/>
                      <w:spacing w:val="0"/>
                      <w:sz w:val="21"/>
                      <w:szCs w:val="21"/>
                      <w:lang w:val="en-US" w:eastAsia="zh-CN"/>
                    </w:rPr>
                    <w:t>现阶段出租（面积119</w:t>
                  </w:r>
                  <w:r>
                    <w:rPr>
                      <w:rFonts w:hint="eastAsia" w:ascii="Times New Roman" w:hAnsi="Times New Roman" w:eastAsia="宋体" w:cs="Times New Roman"/>
                      <w:color w:val="auto"/>
                      <w:spacing w:val="0"/>
                      <w:sz w:val="21"/>
                      <w:szCs w:val="21"/>
                      <w:lang w:val="en-US" w:eastAsia="zh-CN"/>
                    </w:rPr>
                    <w:t>3.58</w:t>
                  </w:r>
                  <w:r>
                    <w:rPr>
                      <w:rFonts w:hint="default" w:ascii="Times New Roman" w:hAnsi="Times New Roman" w:eastAsia="宋体" w:cs="Times New Roman"/>
                      <w:color w:val="auto"/>
                      <w:spacing w:val="0"/>
                      <w:sz w:val="21"/>
                      <w:szCs w:val="21"/>
                      <w:lang w:val="en-US" w:eastAsia="zh-CN"/>
                    </w:rPr>
                    <w:t>m²）</w:t>
                  </w:r>
                </w:p>
              </w:tc>
              <w:tc>
                <w:tcPr>
                  <w:tcW w:w="937" w:type="pct"/>
                  <w:tcBorders>
                    <w:tl2br w:val="nil"/>
                    <w:tr2bl w:val="nil"/>
                  </w:tcBorders>
                  <w:noWrap w:val="0"/>
                  <w:vAlign w:val="center"/>
                </w:tcPr>
                <w:p w14:paraId="05E2C0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FF0000"/>
                      <w:spacing w:val="0"/>
                      <w:sz w:val="21"/>
                      <w:szCs w:val="21"/>
                      <w:lang w:val="en-US" w:eastAsia="zh-CN"/>
                    </w:rPr>
                  </w:pPr>
                  <w:r>
                    <w:rPr>
                      <w:rFonts w:hint="default" w:ascii="Times New Roman" w:hAnsi="Times New Roman" w:eastAsia="宋体" w:cs="Times New Roman"/>
                      <w:color w:val="auto"/>
                      <w:kern w:val="2"/>
                      <w:sz w:val="21"/>
                      <w:szCs w:val="21"/>
                      <w:highlight w:val="none"/>
                      <w:lang w:val="en-US" w:eastAsia="zh-CN" w:bidi="ar-SA"/>
                    </w:rPr>
                    <w:t>1#仓库已出租，</w:t>
                  </w:r>
                  <w:r>
                    <w:rPr>
                      <w:rFonts w:hint="default" w:ascii="Times New Roman" w:hAnsi="Times New Roman" w:eastAsia="宋体" w:cs="Times New Roman"/>
                      <w:color w:val="auto"/>
                      <w:spacing w:val="0"/>
                      <w:sz w:val="21"/>
                      <w:szCs w:val="21"/>
                      <w:lang w:val="en-US" w:eastAsia="zh-CN"/>
                    </w:rPr>
                    <w:t>不在本次验收范围</w:t>
                  </w:r>
                </w:p>
              </w:tc>
            </w:tr>
            <w:tr w14:paraId="641333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71BBEF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FF0000"/>
                      <w:spacing w:val="0"/>
                      <w:sz w:val="21"/>
                      <w:szCs w:val="21"/>
                      <w:lang w:val="en-US" w:eastAsia="zh-CN"/>
                    </w:rPr>
                  </w:pPr>
                </w:p>
              </w:tc>
              <w:tc>
                <w:tcPr>
                  <w:tcW w:w="353" w:type="pct"/>
                  <w:tcBorders>
                    <w:tl2br w:val="nil"/>
                    <w:tr2bl w:val="nil"/>
                  </w:tcBorders>
                  <w:noWrap w:val="0"/>
                  <w:vAlign w:val="center"/>
                </w:tcPr>
                <w:p w14:paraId="733DE6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2#仓库</w:t>
                  </w:r>
                </w:p>
              </w:tc>
              <w:tc>
                <w:tcPr>
                  <w:tcW w:w="1687" w:type="pct"/>
                  <w:gridSpan w:val="4"/>
                  <w:tcBorders>
                    <w:tl2br w:val="nil"/>
                    <w:tr2bl w:val="nil"/>
                  </w:tcBorders>
                  <w:noWrap w:val="0"/>
                  <w:vAlign w:val="center"/>
                </w:tcPr>
                <w:p w14:paraId="6273BA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位于厂区西南侧，1F，建筑面积310m</w:t>
                  </w:r>
                  <w:r>
                    <w:rPr>
                      <w:rFonts w:hint="default" w:ascii="Times New Roman" w:hAnsi="Times New Roman" w:eastAsia="宋体" w:cs="Times New Roman"/>
                      <w:color w:val="auto"/>
                      <w:sz w:val="21"/>
                      <w:szCs w:val="21"/>
                      <w:highlight w:val="none"/>
                      <w:vertAlign w:val="superscript"/>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，主要用于水性丙烯酸压敏胶存储和危废暂存间</w:t>
                  </w:r>
                </w:p>
              </w:tc>
              <w:tc>
                <w:tcPr>
                  <w:tcW w:w="1644" w:type="pct"/>
                  <w:gridSpan w:val="2"/>
                  <w:tcBorders>
                    <w:tl2br w:val="nil"/>
                    <w:tr2bl w:val="nil"/>
                  </w:tcBorders>
                  <w:noWrap w:val="0"/>
                  <w:vAlign w:val="center"/>
                </w:tcPr>
                <w:p w14:paraId="588540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lang w:val="en-US" w:eastAsia="zh-CN" w:bidi="ar-SA"/>
                    </w:rPr>
                    <w:t>位于厂区西南侧，1F，建筑面积310m</w:t>
                  </w:r>
                  <w:r>
                    <w:rPr>
                      <w:rFonts w:hint="default" w:ascii="Times New Roman" w:hAnsi="Times New Roman" w:eastAsia="宋体" w:cs="Times New Roman"/>
                      <w:color w:val="auto"/>
                      <w:sz w:val="21"/>
                      <w:szCs w:val="21"/>
                      <w:highlight w:val="none"/>
                      <w:vertAlign w:val="superscript"/>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，设有危化品仓库（</w:t>
                  </w:r>
                  <w:r>
                    <w:rPr>
                      <w:rFonts w:hint="default" w:ascii="Times New Roman" w:hAnsi="Times New Roman" w:eastAsia="宋体" w:cs="Times New Roman"/>
                      <w:color w:val="auto"/>
                      <w:spacing w:val="0"/>
                      <w:sz w:val="21"/>
                      <w:szCs w:val="21"/>
                      <w:highlight w:val="none"/>
                      <w:lang w:val="en-US" w:eastAsia="zh-CN"/>
                    </w:rPr>
                    <w:t>面积46.15m²</w:t>
                  </w:r>
                  <w:r>
                    <w:rPr>
                      <w:rFonts w:hint="default" w:ascii="Times New Roman" w:hAnsi="Times New Roman" w:eastAsia="宋体" w:cs="Times New Roman"/>
                      <w:color w:val="auto"/>
                      <w:kern w:val="2"/>
                      <w:sz w:val="21"/>
                      <w:szCs w:val="21"/>
                      <w:highlight w:val="none"/>
                      <w:lang w:val="en-US" w:eastAsia="zh-CN" w:bidi="ar-SA"/>
                    </w:rPr>
                    <w:t>），主要用于水性丙烯酸压敏胶、油墨等存储。</w:t>
                  </w:r>
                </w:p>
              </w:tc>
              <w:tc>
                <w:tcPr>
                  <w:tcW w:w="937" w:type="pct"/>
                  <w:tcBorders>
                    <w:tl2br w:val="nil"/>
                    <w:tr2bl w:val="nil"/>
                  </w:tcBorders>
                  <w:noWrap w:val="0"/>
                  <w:vAlign w:val="center"/>
                </w:tcPr>
                <w:p w14:paraId="2899D5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vertAlign w:val="baseline"/>
                      <w:lang w:val="en-US" w:eastAsia="zh-CN"/>
                    </w:rPr>
                  </w:pPr>
                  <w:r>
                    <w:rPr>
                      <w:rFonts w:hint="default" w:ascii="Times New Roman" w:hAnsi="Times New Roman" w:eastAsia="宋体" w:cs="Times New Roman"/>
                      <w:color w:val="auto"/>
                      <w:kern w:val="2"/>
                      <w:sz w:val="21"/>
                      <w:szCs w:val="21"/>
                      <w:highlight w:val="none"/>
                      <w:lang w:val="en-US" w:eastAsia="zh-CN" w:bidi="ar-SA"/>
                    </w:rPr>
                    <w:t>危废暂存间未在本区域范围内建设，设立在2#</w:t>
                  </w:r>
                  <w:r>
                    <w:rPr>
                      <w:rFonts w:hint="default" w:ascii="Times New Roman" w:hAnsi="Times New Roman" w:eastAsia="宋体" w:cs="Times New Roman"/>
                      <w:color w:val="auto"/>
                      <w:sz w:val="21"/>
                      <w:szCs w:val="21"/>
                      <w:highlight w:val="none"/>
                      <w:lang w:val="en-US" w:eastAsia="zh-CN" w:bidi="ar-SA"/>
                    </w:rPr>
                    <w:t>车间西北角，位置变更，</w:t>
                  </w:r>
                  <w:r>
                    <w:rPr>
                      <w:rFonts w:hint="default" w:ascii="Times New Roman" w:hAnsi="Times New Roman" w:eastAsia="宋体" w:cs="Times New Roman"/>
                      <w:snapToGrid/>
                      <w:color w:val="auto"/>
                      <w:kern w:val="0"/>
                      <w:sz w:val="21"/>
                      <w:szCs w:val="21"/>
                      <w:lang w:val="en-US" w:eastAsia="zh-CN" w:bidi="ar-SA"/>
                    </w:rPr>
                    <w:t>不属于重大变动。</w:t>
                  </w:r>
                </w:p>
              </w:tc>
            </w:tr>
            <w:tr w14:paraId="5F7481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restart"/>
                  <w:tcBorders>
                    <w:tl2br w:val="nil"/>
                    <w:tr2bl w:val="nil"/>
                  </w:tcBorders>
                  <w:noWrap w:val="0"/>
                  <w:vAlign w:val="center"/>
                </w:tcPr>
                <w:p w14:paraId="33D879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FF0000"/>
                      <w:spacing w:val="0"/>
                      <w:sz w:val="21"/>
                      <w:szCs w:val="21"/>
                      <w:lang w:eastAsia="zh-CN"/>
                    </w:rPr>
                  </w:pPr>
                  <w:r>
                    <w:rPr>
                      <w:rFonts w:hint="default" w:ascii="Times New Roman" w:hAnsi="Times New Roman" w:eastAsia="宋体" w:cs="Times New Roman"/>
                      <w:color w:val="auto"/>
                      <w:spacing w:val="0"/>
                      <w:sz w:val="21"/>
                      <w:szCs w:val="21"/>
                      <w:lang w:eastAsia="zh-CN"/>
                    </w:rPr>
                    <w:t>公用工程</w:t>
                  </w:r>
                </w:p>
              </w:tc>
              <w:tc>
                <w:tcPr>
                  <w:tcW w:w="353" w:type="pct"/>
                  <w:tcBorders>
                    <w:tl2br w:val="nil"/>
                    <w:tr2bl w:val="nil"/>
                  </w:tcBorders>
                  <w:noWrap w:val="0"/>
                  <w:vAlign w:val="center"/>
                </w:tcPr>
                <w:p w14:paraId="3683CE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供电</w:t>
                  </w:r>
                </w:p>
              </w:tc>
              <w:tc>
                <w:tcPr>
                  <w:tcW w:w="1687" w:type="pct"/>
                  <w:gridSpan w:val="4"/>
                  <w:tcBorders>
                    <w:tl2br w:val="nil"/>
                    <w:tr2bl w:val="nil"/>
                  </w:tcBorders>
                  <w:noWrap w:val="0"/>
                  <w:vAlign w:val="center"/>
                </w:tcPr>
                <w:p w14:paraId="7B2B68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项目用电来自园区供电管网，其电压、电量能够满足项目的需求，项目用电量为200万kwh/a</w:t>
                  </w:r>
                </w:p>
              </w:tc>
              <w:tc>
                <w:tcPr>
                  <w:tcW w:w="1644" w:type="pct"/>
                  <w:gridSpan w:val="2"/>
                  <w:tcBorders>
                    <w:tl2br w:val="nil"/>
                    <w:tr2bl w:val="nil"/>
                  </w:tcBorders>
                  <w:noWrap w:val="0"/>
                  <w:vAlign w:val="center"/>
                </w:tcPr>
                <w:p w14:paraId="0273C4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kern w:val="2"/>
                      <w:sz w:val="21"/>
                      <w:szCs w:val="21"/>
                      <w:highlight w:val="none"/>
                      <w:lang w:val="en-US" w:eastAsia="zh-CN" w:bidi="ar-SA"/>
                    </w:rPr>
                    <w:t>采用园区供电管网</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项目</w:t>
                  </w:r>
                  <w:r>
                    <w:rPr>
                      <w:rFonts w:hint="eastAsia" w:ascii="Times New Roman" w:hAnsi="Times New Roman" w:eastAsia="宋体" w:cs="Times New Roman"/>
                      <w:color w:val="auto"/>
                      <w:kern w:val="2"/>
                      <w:sz w:val="21"/>
                      <w:szCs w:val="21"/>
                      <w:highlight w:val="none"/>
                      <w:lang w:val="en-US" w:eastAsia="zh-CN" w:bidi="ar-SA"/>
                    </w:rPr>
                    <w:t>实际</w:t>
                  </w:r>
                  <w:r>
                    <w:rPr>
                      <w:rFonts w:hint="default" w:ascii="Times New Roman" w:hAnsi="Times New Roman" w:eastAsia="宋体" w:cs="Times New Roman"/>
                      <w:color w:val="auto"/>
                      <w:kern w:val="2"/>
                      <w:sz w:val="21"/>
                      <w:szCs w:val="21"/>
                      <w:highlight w:val="none"/>
                      <w:lang w:val="en-US" w:eastAsia="zh-CN" w:bidi="ar-SA"/>
                    </w:rPr>
                    <w:t>用电量为</w:t>
                  </w:r>
                  <w:r>
                    <w:rPr>
                      <w:rFonts w:hint="eastAsia" w:ascii="Times New Roman" w:hAnsi="Times New Roman" w:eastAsia="宋体" w:cs="Times New Roman"/>
                      <w:color w:val="auto"/>
                      <w:kern w:val="2"/>
                      <w:sz w:val="21"/>
                      <w:szCs w:val="21"/>
                      <w:highlight w:val="none"/>
                      <w:lang w:val="en-US" w:eastAsia="zh-CN" w:bidi="ar-SA"/>
                    </w:rPr>
                    <w:t>375370</w:t>
                  </w:r>
                  <w:r>
                    <w:rPr>
                      <w:rFonts w:hint="default" w:ascii="Times New Roman" w:hAnsi="Times New Roman" w:eastAsia="宋体" w:cs="Times New Roman"/>
                      <w:color w:val="auto"/>
                      <w:kern w:val="2"/>
                      <w:sz w:val="21"/>
                      <w:szCs w:val="21"/>
                      <w:highlight w:val="none"/>
                      <w:lang w:val="en-US" w:eastAsia="zh-CN" w:bidi="ar-SA"/>
                    </w:rPr>
                    <w:t>kwh/a。</w:t>
                  </w:r>
                </w:p>
              </w:tc>
              <w:tc>
                <w:tcPr>
                  <w:tcW w:w="937" w:type="pct"/>
                  <w:vMerge w:val="restart"/>
                  <w:tcBorders>
                    <w:tl2br w:val="nil"/>
                    <w:tr2bl w:val="nil"/>
                  </w:tcBorders>
                  <w:noWrap w:val="0"/>
                  <w:vAlign w:val="center"/>
                </w:tcPr>
                <w:p w14:paraId="7AC310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pacing w:val="0"/>
                      <w:sz w:val="21"/>
                      <w:szCs w:val="21"/>
                      <w:lang w:val="en-US" w:eastAsia="zh-CN"/>
                    </w:rPr>
                  </w:pPr>
                  <w:r>
                    <w:rPr>
                      <w:rFonts w:hint="default" w:ascii="Times New Roman" w:hAnsi="Times New Roman" w:eastAsia="宋体" w:cs="Times New Roman"/>
                      <w:color w:val="auto"/>
                      <w:spacing w:val="0"/>
                      <w:sz w:val="21"/>
                      <w:szCs w:val="21"/>
                      <w:lang w:val="en-US" w:eastAsia="zh-CN"/>
                    </w:rPr>
                    <w:t>与环评一致</w:t>
                  </w:r>
                </w:p>
              </w:tc>
            </w:tr>
            <w:tr w14:paraId="390C70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7775A7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FF0000"/>
                      <w:spacing w:val="0"/>
                      <w:sz w:val="21"/>
                      <w:szCs w:val="21"/>
                      <w:lang w:eastAsia="zh-CN"/>
                    </w:rPr>
                  </w:pPr>
                </w:p>
              </w:tc>
              <w:tc>
                <w:tcPr>
                  <w:tcW w:w="353" w:type="pct"/>
                  <w:tcBorders>
                    <w:tl2br w:val="nil"/>
                    <w:tr2bl w:val="nil"/>
                  </w:tcBorders>
                  <w:noWrap w:val="0"/>
                  <w:vAlign w:val="center"/>
                </w:tcPr>
                <w:p w14:paraId="358F46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排水</w:t>
                  </w:r>
                </w:p>
              </w:tc>
              <w:tc>
                <w:tcPr>
                  <w:tcW w:w="1687" w:type="pct"/>
                  <w:gridSpan w:val="4"/>
                  <w:tcBorders>
                    <w:tl2br w:val="nil"/>
                    <w:tr2bl w:val="nil"/>
                  </w:tcBorders>
                  <w:noWrap w:val="0"/>
                  <w:vAlign w:val="center"/>
                </w:tcPr>
                <w:p w14:paraId="2243FFA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雨污分流，雨水排入市政雨水管网；项目排放废水主要为生活污水，通过园区污水管网送歙县循环经济园区污水处理厂（鼎元污水处理有限公司）处理，处理达到GB8978-199</w:t>
                  </w:r>
                  <w:r>
                    <w:rPr>
                      <w:rFonts w:hint="eastAsia" w:ascii="Times New Roman" w:hAnsi="Times New Roman" w:eastAsia="宋体" w:cs="Times New Roman"/>
                      <w:color w:val="auto"/>
                      <w:kern w:val="2"/>
                      <w:sz w:val="21"/>
                      <w:szCs w:val="21"/>
                      <w:highlight w:val="none"/>
                      <w:lang w:val="en-US" w:eastAsia="zh-CN" w:bidi="ar-SA"/>
                    </w:rPr>
                    <w:t>6《</w:t>
                  </w:r>
                  <w:r>
                    <w:rPr>
                      <w:rFonts w:hint="default" w:ascii="Times New Roman" w:hAnsi="Times New Roman" w:eastAsia="宋体" w:cs="Times New Roman"/>
                      <w:color w:val="auto"/>
                      <w:kern w:val="2"/>
                      <w:sz w:val="21"/>
                      <w:szCs w:val="21"/>
                      <w:highlight w:val="none"/>
                      <w:lang w:val="en-US" w:eastAsia="zh-CN" w:bidi="ar-SA"/>
                    </w:rPr>
                    <w:t>污水综合排放标准》表4中的三级排放标准，再由市政污水管网进入歙县污水处理厂处理达到GB18918-2002《城镇污水处理厂污染物排放标准》一级标准A标准后排入练江</w:t>
                  </w:r>
                </w:p>
              </w:tc>
              <w:tc>
                <w:tcPr>
                  <w:tcW w:w="1644" w:type="pct"/>
                  <w:gridSpan w:val="2"/>
                  <w:tcBorders>
                    <w:tl2br w:val="nil"/>
                    <w:tr2bl w:val="nil"/>
                  </w:tcBorders>
                  <w:noWrap w:val="0"/>
                  <w:vAlign w:val="center"/>
                </w:tcPr>
                <w:p w14:paraId="2BBBD49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pacing w:val="0"/>
                      <w:sz w:val="21"/>
                      <w:szCs w:val="21"/>
                      <w:lang w:val="en-US" w:eastAsia="zh-CN"/>
                    </w:rPr>
                  </w:pPr>
                  <w:r>
                    <w:rPr>
                      <w:rFonts w:hint="default" w:ascii="Times New Roman" w:hAnsi="Times New Roman" w:eastAsia="宋体" w:cs="Times New Roman"/>
                      <w:color w:val="auto"/>
                      <w:kern w:val="2"/>
                      <w:sz w:val="21"/>
                      <w:szCs w:val="21"/>
                      <w:highlight w:val="none"/>
                      <w:lang w:val="en-US" w:eastAsia="zh-CN" w:bidi="ar-SA"/>
                    </w:rPr>
                    <w:t>项目实施雨污分流，雨水排入市政雨水管网；项目排放废水</w:t>
                  </w:r>
                  <w:r>
                    <w:rPr>
                      <w:rFonts w:hint="eastAsia" w:ascii="Times New Roman" w:hAnsi="Times New Roman" w:eastAsia="宋体" w:cs="Times New Roman"/>
                      <w:color w:val="auto"/>
                      <w:kern w:val="2"/>
                      <w:sz w:val="21"/>
                      <w:szCs w:val="21"/>
                      <w:highlight w:val="none"/>
                      <w:lang w:val="en-US" w:eastAsia="zh-CN" w:bidi="ar-SA"/>
                    </w:rPr>
                    <w:t>仅</w:t>
                  </w:r>
                  <w:r>
                    <w:rPr>
                      <w:rFonts w:hint="default" w:ascii="Times New Roman" w:hAnsi="Times New Roman" w:eastAsia="宋体" w:cs="Times New Roman"/>
                      <w:color w:val="auto"/>
                      <w:kern w:val="2"/>
                      <w:sz w:val="21"/>
                      <w:szCs w:val="21"/>
                      <w:highlight w:val="none"/>
                      <w:lang w:val="en-US" w:eastAsia="zh-CN" w:bidi="ar-SA"/>
                    </w:rPr>
                    <w:t>为生活污水，通过园区污水管网送歙县循环经济园区污水处理厂（鼎元污水处理有限公司）处理，处理达到GB8978-1996《污水综合排放标准》表4中的三级排放标准，再由市政污水管网进入歙县污水处理厂处理达到GB18918-2002《城镇污水处理厂污染物排放标准》一级标准A标准后排入练江。</w:t>
                  </w:r>
                </w:p>
              </w:tc>
              <w:tc>
                <w:tcPr>
                  <w:tcW w:w="937" w:type="pct"/>
                  <w:vMerge w:val="continue"/>
                  <w:tcBorders>
                    <w:tl2br w:val="nil"/>
                    <w:tr2bl w:val="nil"/>
                  </w:tcBorders>
                  <w:noWrap w:val="0"/>
                  <w:vAlign w:val="center"/>
                </w:tcPr>
                <w:p w14:paraId="361130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pacing w:val="0"/>
                      <w:sz w:val="21"/>
                      <w:szCs w:val="21"/>
                      <w:lang w:val="en-US" w:eastAsia="zh-CN"/>
                    </w:rPr>
                  </w:pPr>
                </w:p>
              </w:tc>
            </w:tr>
            <w:tr w14:paraId="41590D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3735E0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FF0000"/>
                      <w:spacing w:val="0"/>
                      <w:sz w:val="21"/>
                      <w:szCs w:val="21"/>
                      <w:lang w:eastAsia="zh-CN"/>
                    </w:rPr>
                  </w:pPr>
                </w:p>
              </w:tc>
              <w:tc>
                <w:tcPr>
                  <w:tcW w:w="353" w:type="pct"/>
                  <w:tcBorders>
                    <w:tl2br w:val="nil"/>
                    <w:tr2bl w:val="nil"/>
                  </w:tcBorders>
                  <w:noWrap w:val="0"/>
                  <w:vAlign w:val="center"/>
                </w:tcPr>
                <w:p w14:paraId="60BDD9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供水</w:t>
                  </w:r>
                </w:p>
              </w:tc>
              <w:tc>
                <w:tcPr>
                  <w:tcW w:w="1687" w:type="pct"/>
                  <w:gridSpan w:val="4"/>
                  <w:tcBorders>
                    <w:tl2br w:val="nil"/>
                    <w:tr2bl w:val="nil"/>
                  </w:tcBorders>
                  <w:noWrap w:val="0"/>
                  <w:vAlign w:val="center"/>
                </w:tcPr>
                <w:p w14:paraId="062EE6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项目供水由园区市政给水管网接入厂区，项目用水量约2460.9t/a，能够满足项目用水需求</w:t>
                  </w:r>
                </w:p>
              </w:tc>
              <w:tc>
                <w:tcPr>
                  <w:tcW w:w="1644" w:type="pct"/>
                  <w:gridSpan w:val="2"/>
                  <w:tcBorders>
                    <w:tl2br w:val="nil"/>
                    <w:tr2bl w:val="nil"/>
                  </w:tcBorders>
                  <w:noWrap w:val="0"/>
                  <w:vAlign w:val="center"/>
                </w:tcPr>
                <w:p w14:paraId="5C7455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kern w:val="2"/>
                      <w:sz w:val="21"/>
                      <w:szCs w:val="21"/>
                      <w:highlight w:val="none"/>
                      <w:lang w:val="en-US" w:eastAsia="zh-CN" w:bidi="ar-SA"/>
                    </w:rPr>
                    <w:t>供水由园区市政给水管网接入厂区</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项目</w:t>
                  </w:r>
                  <w:r>
                    <w:rPr>
                      <w:rFonts w:hint="eastAsia" w:ascii="Times New Roman" w:hAnsi="Times New Roman" w:eastAsia="宋体" w:cs="Times New Roman"/>
                      <w:color w:val="auto"/>
                      <w:kern w:val="2"/>
                      <w:sz w:val="21"/>
                      <w:szCs w:val="21"/>
                      <w:highlight w:val="none"/>
                      <w:lang w:val="en-US" w:eastAsia="zh-CN" w:bidi="ar-SA"/>
                    </w:rPr>
                    <w:t>实际</w:t>
                  </w:r>
                  <w:r>
                    <w:rPr>
                      <w:rFonts w:hint="default" w:ascii="Times New Roman" w:hAnsi="Times New Roman" w:eastAsia="宋体" w:cs="Times New Roman"/>
                      <w:color w:val="auto"/>
                      <w:kern w:val="2"/>
                      <w:sz w:val="21"/>
                      <w:szCs w:val="21"/>
                      <w:highlight w:val="none"/>
                      <w:lang w:val="en-US" w:eastAsia="zh-CN" w:bidi="ar-SA"/>
                    </w:rPr>
                    <w:t>用水量约</w:t>
                  </w:r>
                  <w:r>
                    <w:rPr>
                      <w:rFonts w:hint="eastAsia" w:ascii="Times New Roman" w:hAnsi="Times New Roman" w:eastAsia="宋体" w:cs="Times New Roman"/>
                      <w:color w:val="auto"/>
                      <w:kern w:val="2"/>
                      <w:sz w:val="21"/>
                      <w:szCs w:val="21"/>
                      <w:highlight w:val="none"/>
                      <w:lang w:val="en-US" w:eastAsia="zh-CN" w:bidi="ar-SA"/>
                    </w:rPr>
                    <w:t>436</w:t>
                  </w:r>
                  <w:r>
                    <w:rPr>
                      <w:rFonts w:hint="default" w:ascii="Times New Roman" w:hAnsi="Times New Roman" w:eastAsia="宋体" w:cs="Times New Roman"/>
                      <w:color w:val="auto"/>
                      <w:kern w:val="2"/>
                      <w:sz w:val="21"/>
                      <w:szCs w:val="21"/>
                      <w:highlight w:val="none"/>
                      <w:lang w:val="en-US" w:eastAsia="zh-CN" w:bidi="ar-SA"/>
                    </w:rPr>
                    <w:t>t/a。</w:t>
                  </w:r>
                </w:p>
              </w:tc>
              <w:tc>
                <w:tcPr>
                  <w:tcW w:w="937" w:type="pct"/>
                  <w:vMerge w:val="continue"/>
                  <w:tcBorders>
                    <w:tl2br w:val="nil"/>
                    <w:tr2bl w:val="nil"/>
                  </w:tcBorders>
                  <w:noWrap w:val="0"/>
                  <w:vAlign w:val="center"/>
                </w:tcPr>
                <w:p w14:paraId="5AFD0F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FF0000"/>
                      <w:spacing w:val="0"/>
                      <w:sz w:val="21"/>
                      <w:szCs w:val="21"/>
                      <w:lang w:val="en-US" w:eastAsia="zh-CN"/>
                    </w:rPr>
                  </w:pPr>
                </w:p>
              </w:tc>
            </w:tr>
            <w:tr w14:paraId="02CF7C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tcBorders>
                    <w:tl2br w:val="nil"/>
                    <w:tr2bl w:val="nil"/>
                  </w:tcBorders>
                  <w:noWrap w:val="0"/>
                  <w:vAlign w:val="center"/>
                </w:tcPr>
                <w:p w14:paraId="729197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FF0000"/>
                      <w:spacing w:val="0"/>
                      <w:sz w:val="21"/>
                      <w:szCs w:val="21"/>
                      <w:lang w:val="en-US" w:eastAsia="zh-CN"/>
                    </w:rPr>
                  </w:pPr>
                  <w:r>
                    <w:rPr>
                      <w:rFonts w:hint="default" w:ascii="Times New Roman" w:hAnsi="Times New Roman" w:eastAsia="宋体" w:cs="Times New Roman"/>
                      <w:color w:val="auto"/>
                      <w:spacing w:val="0"/>
                      <w:sz w:val="21"/>
                      <w:szCs w:val="21"/>
                      <w:lang w:val="en-US" w:eastAsia="zh-CN"/>
                    </w:rPr>
                    <w:t>环保工程</w:t>
                  </w:r>
                </w:p>
              </w:tc>
              <w:tc>
                <w:tcPr>
                  <w:tcW w:w="353" w:type="pct"/>
                  <w:tcBorders>
                    <w:tl2br w:val="nil"/>
                    <w:tr2bl w:val="nil"/>
                  </w:tcBorders>
                  <w:noWrap w:val="0"/>
                  <w:vAlign w:val="center"/>
                </w:tcPr>
                <w:p w14:paraId="1A535FF0">
                  <w:pPr>
                    <w:keepNext w:val="0"/>
                    <w:keepLines w:val="0"/>
                    <w:pageBreakBefore w:val="0"/>
                    <w:widowControl/>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z w:val="21"/>
                      <w:szCs w:val="21"/>
                      <w:lang w:val="en-US" w:eastAsia="zh-CN"/>
                    </w:rPr>
                    <w:t>废水</w:t>
                  </w:r>
                </w:p>
              </w:tc>
              <w:tc>
                <w:tcPr>
                  <w:tcW w:w="1687" w:type="pct"/>
                  <w:gridSpan w:val="4"/>
                  <w:tcBorders>
                    <w:tl2br w:val="nil"/>
                    <w:tr2bl w:val="nil"/>
                  </w:tcBorders>
                  <w:noWrap w:val="0"/>
                  <w:vAlign w:val="center"/>
                </w:tcPr>
                <w:p w14:paraId="67587DC8">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z w:val="21"/>
                      <w:szCs w:val="21"/>
                      <w:highlight w:val="none"/>
                      <w:lang w:val="en-US" w:eastAsia="zh-CN"/>
                    </w:rPr>
                    <w:t>生活污水经歙县循环经济园区污水处理厂处理达到GB8978-1996《污水综合排放标准》表4中的三级排放标准，再由市政污水管网进入歙县污水处理厂处理达到GB18918-2002《城镇污水处理厂污染物排放标准》一级标准A标准后排入练江。</w:t>
                  </w:r>
                </w:p>
              </w:tc>
              <w:tc>
                <w:tcPr>
                  <w:tcW w:w="1644" w:type="pct"/>
                  <w:gridSpan w:val="2"/>
                  <w:tcBorders>
                    <w:tl2br w:val="nil"/>
                    <w:tr2bl w:val="nil"/>
                  </w:tcBorders>
                  <w:noWrap w:val="0"/>
                  <w:vAlign w:val="center"/>
                </w:tcPr>
                <w:p w14:paraId="137633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Cs/>
                      <w:color w:val="auto"/>
                      <w:spacing w:val="0"/>
                      <w:sz w:val="21"/>
                      <w:szCs w:val="21"/>
                      <w:vertAlign w:val="baseline"/>
                      <w:lang w:val="en-US" w:eastAsia="zh-CN"/>
                    </w:rPr>
                  </w:pPr>
                  <w:r>
                    <w:rPr>
                      <w:rFonts w:hint="default" w:ascii="Times New Roman" w:hAnsi="Times New Roman" w:eastAsia="宋体" w:cs="Times New Roman"/>
                      <w:color w:val="auto"/>
                      <w:sz w:val="21"/>
                      <w:szCs w:val="21"/>
                      <w:highlight w:val="none"/>
                      <w:lang w:val="en-US" w:eastAsia="zh-CN"/>
                    </w:rPr>
                    <w:t>项目生活污水经歙县循环经济园区污水处理厂处理达到GB8978-1996《污水综合排放标准》表4中的三级排放标准，再由市政污水管网进入歙县污水处理厂处理达到GB18918-2002《城镇污水处理厂污染物排放标准》一级标准A标准后排入练江。</w:t>
                  </w:r>
                </w:p>
              </w:tc>
              <w:tc>
                <w:tcPr>
                  <w:tcW w:w="937" w:type="pct"/>
                  <w:tcBorders>
                    <w:tl2br w:val="nil"/>
                    <w:tr2bl w:val="nil"/>
                  </w:tcBorders>
                  <w:noWrap w:val="0"/>
                  <w:vAlign w:val="center"/>
                </w:tcPr>
                <w:p w14:paraId="14A452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Cs/>
                      <w:color w:val="auto"/>
                      <w:spacing w:val="0"/>
                      <w:sz w:val="21"/>
                      <w:szCs w:val="21"/>
                      <w:vertAlign w:val="baseline"/>
                      <w:lang w:val="en-US" w:eastAsia="zh-CN"/>
                    </w:rPr>
                  </w:pPr>
                  <w:r>
                    <w:rPr>
                      <w:rFonts w:hint="default" w:ascii="Times New Roman" w:hAnsi="Times New Roman" w:eastAsia="宋体" w:cs="Times New Roman"/>
                      <w:color w:val="auto"/>
                      <w:spacing w:val="0"/>
                      <w:sz w:val="21"/>
                      <w:szCs w:val="21"/>
                      <w:lang w:val="en-US" w:eastAsia="zh-CN"/>
                    </w:rPr>
                    <w:t>与环评一致</w:t>
                  </w:r>
                </w:p>
              </w:tc>
            </w:tr>
            <w:tr w14:paraId="3C3617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restart"/>
                  <w:tcBorders>
                    <w:tl2br w:val="nil"/>
                    <w:tr2bl w:val="nil"/>
                  </w:tcBorders>
                  <w:noWrap w:val="0"/>
                  <w:vAlign w:val="center"/>
                </w:tcPr>
                <w:p w14:paraId="1D916E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FF0000"/>
                      <w:spacing w:val="0"/>
                      <w:sz w:val="21"/>
                      <w:szCs w:val="21"/>
                      <w:lang w:val="en-US" w:eastAsia="zh-CN"/>
                    </w:rPr>
                  </w:pPr>
                </w:p>
              </w:tc>
              <w:tc>
                <w:tcPr>
                  <w:tcW w:w="353" w:type="pct"/>
                  <w:vMerge w:val="restart"/>
                  <w:tcBorders>
                    <w:tl2br w:val="nil"/>
                    <w:tr2bl w:val="nil"/>
                  </w:tcBorders>
                  <w:noWrap w:val="0"/>
                  <w:vAlign w:val="center"/>
                </w:tcPr>
                <w:p w14:paraId="35AEA599">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textAlignment w:val="auto"/>
                    <w:rPr>
                      <w:rFonts w:hint="default" w:ascii="Times New Roman" w:hAnsi="Times New Roman" w:eastAsia="宋体" w:cs="Times New Roman"/>
                      <w:color w:val="FF0000"/>
                      <w:spacing w:val="0"/>
                      <w:sz w:val="21"/>
                      <w:szCs w:val="21"/>
                      <w:lang w:val="en-US" w:eastAsia="zh-CN"/>
                    </w:rPr>
                  </w:pPr>
                  <w:r>
                    <w:rPr>
                      <w:rFonts w:hint="default" w:ascii="Times New Roman" w:hAnsi="Times New Roman" w:eastAsia="宋体" w:cs="Times New Roman"/>
                      <w:bCs/>
                      <w:color w:val="auto"/>
                      <w:sz w:val="21"/>
                      <w:szCs w:val="21"/>
                    </w:rPr>
                    <w:t>废气</w:t>
                  </w:r>
                </w:p>
              </w:tc>
              <w:tc>
                <w:tcPr>
                  <w:tcW w:w="233" w:type="pct"/>
                  <w:vMerge w:val="restart"/>
                  <w:tcBorders>
                    <w:tl2br w:val="nil"/>
                    <w:tr2bl w:val="nil"/>
                  </w:tcBorders>
                  <w:noWrap w:val="0"/>
                  <w:vAlign w:val="center"/>
                </w:tcPr>
                <w:p w14:paraId="17473887">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p w14:paraId="31D25525">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#生产车间</w:t>
                  </w:r>
                </w:p>
              </w:tc>
              <w:tc>
                <w:tcPr>
                  <w:tcW w:w="520" w:type="pct"/>
                  <w:gridSpan w:val="2"/>
                  <w:tcBorders>
                    <w:tl2br w:val="nil"/>
                    <w:tr2bl w:val="nil"/>
                  </w:tcBorders>
                  <w:noWrap w:val="0"/>
                  <w:vAlign w:val="center"/>
                </w:tcPr>
                <w:p w14:paraId="22D61E8E">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配胶室</w:t>
                  </w:r>
                </w:p>
              </w:tc>
              <w:tc>
                <w:tcPr>
                  <w:tcW w:w="933" w:type="pct"/>
                  <w:tcBorders>
                    <w:tl2br w:val="nil"/>
                    <w:tr2bl w:val="nil"/>
                  </w:tcBorders>
                  <w:noWrap w:val="0"/>
                  <w:vAlign w:val="center"/>
                </w:tcPr>
                <w:p w14:paraId="0464D3DC">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密闭，负压收集</w:t>
                  </w:r>
                </w:p>
              </w:tc>
              <w:tc>
                <w:tcPr>
                  <w:tcW w:w="224" w:type="pct"/>
                  <w:vMerge w:val="restart"/>
                  <w:tcBorders>
                    <w:tl2br w:val="nil"/>
                    <w:tr2bl w:val="nil"/>
                  </w:tcBorders>
                  <w:noWrap w:val="0"/>
                  <w:vAlign w:val="center"/>
                </w:tcPr>
                <w:p w14:paraId="1F0C9A21">
                  <w:pPr>
                    <w:widowControl w:val="0"/>
                    <w:adjustRightInd/>
                    <w:snapToGrid/>
                    <w:spacing w:line="240" w:lineRule="auto"/>
                    <w:ind w:firstLine="0" w:firstLineChars="0"/>
                    <w:jc w:val="center"/>
                    <w:rPr>
                      <w:rFonts w:hint="default" w:ascii="Times New Roman" w:hAnsi="Times New Roman" w:eastAsia="宋体" w:cs="Times New Roman"/>
                      <w:color w:val="FF0000"/>
                      <w:spacing w:val="0"/>
                      <w:sz w:val="21"/>
                      <w:szCs w:val="21"/>
                      <w:lang w:val="en-US" w:eastAsia="zh-CN"/>
                    </w:rPr>
                  </w:pPr>
                  <w:r>
                    <w:rPr>
                      <w:rFonts w:hint="default" w:ascii="Times New Roman" w:hAnsi="Times New Roman" w:eastAsia="宋体" w:cs="Times New Roman"/>
                      <w:color w:val="auto"/>
                      <w:sz w:val="21"/>
                      <w:szCs w:val="21"/>
                      <w:lang w:val="en-US" w:eastAsia="zh-CN"/>
                    </w:rPr>
                    <w:t>1#生产车间</w:t>
                  </w:r>
                </w:p>
              </w:tc>
              <w:tc>
                <w:tcPr>
                  <w:tcW w:w="1419" w:type="pct"/>
                  <w:tcBorders>
                    <w:tl2br w:val="nil"/>
                    <w:tr2bl w:val="nil"/>
                  </w:tcBorders>
                  <w:noWrap w:val="0"/>
                  <w:vAlign w:val="center"/>
                </w:tcPr>
                <w:p w14:paraId="454513CD">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配胶室：密闭，负压收集后的废气经“气动旋流净化塔+干式过滤箱+活性炭吸附浓缩+催化燃烧”处理装置处理后通过15米高排气筒（DA001）达标排放。</w:t>
                  </w:r>
                </w:p>
              </w:tc>
              <w:tc>
                <w:tcPr>
                  <w:tcW w:w="937" w:type="pct"/>
                  <w:vMerge w:val="restart"/>
                  <w:tcBorders>
                    <w:tl2br w:val="nil"/>
                    <w:tr2bl w:val="nil"/>
                  </w:tcBorders>
                  <w:noWrap w:val="0"/>
                  <w:vAlign w:val="center"/>
                </w:tcPr>
                <w:p w14:paraId="6BAA3CC2">
                  <w:pPr>
                    <w:pStyle w:val="29"/>
                    <w:keepNext w:val="0"/>
                    <w:keepLines w:val="0"/>
                    <w:pageBreakBefore w:val="0"/>
                    <w:widowControl w:val="0"/>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宋体" w:cs="Times New Roman"/>
                      <w:color w:val="FF0000"/>
                      <w:spacing w:val="0"/>
                      <w:sz w:val="21"/>
                      <w:szCs w:val="21"/>
                      <w:lang w:val="en-US" w:eastAsia="zh-CN"/>
                    </w:rPr>
                  </w:pPr>
                  <w:r>
                    <w:rPr>
                      <w:rFonts w:hint="default" w:ascii="Times New Roman" w:hAnsi="Times New Roman" w:eastAsia="宋体" w:cs="Times New Roman"/>
                      <w:snapToGrid/>
                      <w:color w:val="auto"/>
                      <w:kern w:val="0"/>
                      <w:sz w:val="21"/>
                      <w:szCs w:val="21"/>
                      <w:lang w:val="en-US" w:eastAsia="zh-CN" w:bidi="ar-SA"/>
                    </w:rPr>
                    <w:t>废气治理由原先环评中“气旋净化+二级活性炭吸附装置”优化为“气动旋流净化塔+干式过滤箱+活性炭吸附浓缩+催化燃烧”，属于污染防治设施升级，不属于重大变动。</w:t>
                  </w:r>
                </w:p>
              </w:tc>
            </w:tr>
            <w:tr w14:paraId="728359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64842AEF">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353" w:type="pct"/>
                  <w:vMerge w:val="continue"/>
                  <w:tcBorders>
                    <w:tl2br w:val="nil"/>
                    <w:tr2bl w:val="nil"/>
                  </w:tcBorders>
                  <w:noWrap w:val="0"/>
                  <w:vAlign w:val="center"/>
                </w:tcPr>
                <w:p w14:paraId="6D6AD5AA">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233" w:type="pct"/>
                  <w:vMerge w:val="continue"/>
                  <w:tcBorders>
                    <w:tl2br w:val="nil"/>
                    <w:tr2bl w:val="nil"/>
                  </w:tcBorders>
                  <w:noWrap w:val="0"/>
                  <w:vAlign w:val="center"/>
                </w:tcPr>
                <w:p w14:paraId="4CD2A8B5">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520" w:type="pct"/>
                  <w:gridSpan w:val="2"/>
                  <w:tcBorders>
                    <w:tl2br w:val="nil"/>
                    <w:tr2bl w:val="nil"/>
                  </w:tcBorders>
                  <w:noWrap w:val="0"/>
                  <w:vAlign w:val="center"/>
                </w:tcPr>
                <w:p w14:paraId="65AF7497">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涂布生产线</w:t>
                  </w:r>
                </w:p>
              </w:tc>
              <w:tc>
                <w:tcPr>
                  <w:tcW w:w="933" w:type="pct"/>
                  <w:tcBorders>
                    <w:tl2br w:val="nil"/>
                    <w:tr2bl w:val="nil"/>
                  </w:tcBorders>
                  <w:noWrap w:val="0"/>
                  <w:vAlign w:val="center"/>
                </w:tcPr>
                <w:p w14:paraId="6B3022EB">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涂布机上设置集气罩</w:t>
                  </w:r>
                </w:p>
              </w:tc>
              <w:tc>
                <w:tcPr>
                  <w:tcW w:w="224" w:type="pct"/>
                  <w:vMerge w:val="continue"/>
                  <w:tcBorders>
                    <w:tl2br w:val="nil"/>
                    <w:tr2bl w:val="nil"/>
                  </w:tcBorders>
                  <w:noWrap w:val="0"/>
                  <w:vAlign w:val="center"/>
                </w:tcPr>
                <w:p w14:paraId="0C355AA0">
                  <w:pPr>
                    <w:widowControl w:val="0"/>
                    <w:adjustRightInd/>
                    <w:snapToGrid/>
                    <w:spacing w:line="240" w:lineRule="auto"/>
                    <w:ind w:firstLine="0" w:firstLineChars="0"/>
                    <w:jc w:val="center"/>
                    <w:rPr>
                      <w:rFonts w:hint="default" w:ascii="Times New Roman" w:hAnsi="Times New Roman" w:eastAsia="宋体" w:cs="Times New Roman"/>
                      <w:color w:val="FF0000"/>
                      <w:sz w:val="21"/>
                      <w:szCs w:val="21"/>
                    </w:rPr>
                  </w:pPr>
                </w:p>
              </w:tc>
              <w:tc>
                <w:tcPr>
                  <w:tcW w:w="1419" w:type="pct"/>
                  <w:tcBorders>
                    <w:tl2br w:val="nil"/>
                    <w:tr2bl w:val="nil"/>
                  </w:tcBorders>
                  <w:noWrap w:val="0"/>
                  <w:vAlign w:val="center"/>
                </w:tcPr>
                <w:p w14:paraId="1BB114DA">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涂布生产线：涂布机上设置集气罩，收集的废气经“气动旋流净化塔+干式过滤箱+活性炭吸附浓缩+催化燃烧”处理装置处理后通过15米高排气筒（DA001）达标排放。</w:t>
                  </w:r>
                </w:p>
              </w:tc>
              <w:tc>
                <w:tcPr>
                  <w:tcW w:w="937" w:type="pct"/>
                  <w:vMerge w:val="continue"/>
                  <w:tcBorders>
                    <w:tl2br w:val="nil"/>
                    <w:tr2bl w:val="nil"/>
                  </w:tcBorders>
                  <w:noWrap w:val="0"/>
                  <w:vAlign w:val="center"/>
                </w:tcPr>
                <w:p w14:paraId="5E22DD1B">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r>
            <w:tr w14:paraId="13D234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6915B379">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353" w:type="pct"/>
                  <w:vMerge w:val="continue"/>
                  <w:tcBorders>
                    <w:tl2br w:val="nil"/>
                    <w:tr2bl w:val="nil"/>
                  </w:tcBorders>
                  <w:noWrap w:val="0"/>
                  <w:vAlign w:val="center"/>
                </w:tcPr>
                <w:p w14:paraId="48F32DB4">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233" w:type="pct"/>
                  <w:vMerge w:val="continue"/>
                  <w:tcBorders>
                    <w:tl2br w:val="nil"/>
                    <w:tr2bl w:val="nil"/>
                  </w:tcBorders>
                  <w:noWrap w:val="0"/>
                  <w:vAlign w:val="center"/>
                </w:tcPr>
                <w:p w14:paraId="434A24C0">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520" w:type="pct"/>
                  <w:gridSpan w:val="2"/>
                  <w:tcBorders>
                    <w:tl2br w:val="nil"/>
                    <w:tr2bl w:val="nil"/>
                  </w:tcBorders>
                  <w:noWrap w:val="0"/>
                  <w:vAlign w:val="center"/>
                </w:tcPr>
                <w:p w14:paraId="1BA510B6">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烘干生产线</w:t>
                  </w:r>
                </w:p>
              </w:tc>
              <w:tc>
                <w:tcPr>
                  <w:tcW w:w="933" w:type="pct"/>
                  <w:tcBorders>
                    <w:tl2br w:val="nil"/>
                    <w:tr2bl w:val="nil"/>
                  </w:tcBorders>
                  <w:noWrap w:val="0"/>
                  <w:vAlign w:val="center"/>
                </w:tcPr>
                <w:p w14:paraId="4DBAB4A3">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烘干炉通风口设置集气罩</w:t>
                  </w:r>
                </w:p>
              </w:tc>
              <w:tc>
                <w:tcPr>
                  <w:tcW w:w="224" w:type="pct"/>
                  <w:vMerge w:val="continue"/>
                  <w:tcBorders>
                    <w:tl2br w:val="nil"/>
                    <w:tr2bl w:val="nil"/>
                  </w:tcBorders>
                  <w:noWrap w:val="0"/>
                  <w:vAlign w:val="center"/>
                </w:tcPr>
                <w:p w14:paraId="494EDCE3">
                  <w:pPr>
                    <w:widowControl w:val="0"/>
                    <w:adjustRightInd/>
                    <w:snapToGrid/>
                    <w:spacing w:line="240" w:lineRule="auto"/>
                    <w:ind w:firstLine="0" w:firstLineChars="0"/>
                    <w:jc w:val="center"/>
                    <w:rPr>
                      <w:rFonts w:hint="default" w:ascii="Times New Roman" w:hAnsi="Times New Roman" w:eastAsia="宋体" w:cs="Times New Roman"/>
                      <w:color w:val="FF0000"/>
                      <w:sz w:val="21"/>
                      <w:szCs w:val="21"/>
                      <w:lang w:val="en-US" w:eastAsia="zh-CN"/>
                    </w:rPr>
                  </w:pPr>
                </w:p>
              </w:tc>
              <w:tc>
                <w:tcPr>
                  <w:tcW w:w="1419" w:type="pct"/>
                  <w:tcBorders>
                    <w:tl2br w:val="nil"/>
                    <w:tr2bl w:val="nil"/>
                  </w:tcBorders>
                  <w:noWrap w:val="0"/>
                  <w:vAlign w:val="center"/>
                </w:tcPr>
                <w:p w14:paraId="61C9F749">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烘干生产线：烘干炉通风口设置集气罩，收集的废气经“气动旋流净化塔+干式过滤箱+活性炭吸附浓缩+催化燃烧”处理装置处理后通过15米高排气筒（DA001）达标排放。</w:t>
                  </w:r>
                </w:p>
              </w:tc>
              <w:tc>
                <w:tcPr>
                  <w:tcW w:w="937" w:type="pct"/>
                  <w:vMerge w:val="continue"/>
                  <w:tcBorders>
                    <w:tl2br w:val="nil"/>
                    <w:tr2bl w:val="nil"/>
                  </w:tcBorders>
                  <w:noWrap w:val="0"/>
                  <w:vAlign w:val="center"/>
                </w:tcPr>
                <w:p w14:paraId="4456F3DF">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r>
            <w:tr w14:paraId="1AC971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0126F53D">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353" w:type="pct"/>
                  <w:vMerge w:val="continue"/>
                  <w:tcBorders>
                    <w:tl2br w:val="nil"/>
                    <w:tr2bl w:val="nil"/>
                  </w:tcBorders>
                  <w:noWrap w:val="0"/>
                  <w:vAlign w:val="center"/>
                </w:tcPr>
                <w:p w14:paraId="42EE7807">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233" w:type="pct"/>
                  <w:vMerge w:val="continue"/>
                  <w:tcBorders>
                    <w:tl2br w:val="nil"/>
                    <w:tr2bl w:val="nil"/>
                  </w:tcBorders>
                  <w:noWrap w:val="0"/>
                  <w:vAlign w:val="center"/>
                </w:tcPr>
                <w:p w14:paraId="494F4A06">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520" w:type="pct"/>
                  <w:gridSpan w:val="2"/>
                  <w:tcBorders>
                    <w:tl2br w:val="nil"/>
                    <w:tr2bl w:val="nil"/>
                  </w:tcBorders>
                  <w:noWrap w:val="0"/>
                  <w:vAlign w:val="center"/>
                </w:tcPr>
                <w:p w14:paraId="5DC31EA6">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印刷生产线</w:t>
                  </w:r>
                </w:p>
              </w:tc>
              <w:tc>
                <w:tcPr>
                  <w:tcW w:w="933" w:type="pct"/>
                  <w:tcBorders>
                    <w:tl2br w:val="nil"/>
                    <w:tr2bl w:val="nil"/>
                  </w:tcBorders>
                  <w:noWrap w:val="0"/>
                  <w:vAlign w:val="center"/>
                </w:tcPr>
                <w:p w14:paraId="2F927111">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印刷机上方设计集气罩</w:t>
                  </w:r>
                </w:p>
              </w:tc>
              <w:tc>
                <w:tcPr>
                  <w:tcW w:w="224" w:type="pct"/>
                  <w:vMerge w:val="continue"/>
                  <w:tcBorders>
                    <w:tl2br w:val="nil"/>
                    <w:tr2bl w:val="nil"/>
                  </w:tcBorders>
                  <w:noWrap w:val="0"/>
                  <w:vAlign w:val="center"/>
                </w:tcPr>
                <w:p w14:paraId="4BCF3565">
                  <w:pPr>
                    <w:widowControl w:val="0"/>
                    <w:adjustRightInd/>
                    <w:snapToGrid/>
                    <w:spacing w:line="240" w:lineRule="auto"/>
                    <w:ind w:firstLine="0" w:firstLineChars="0"/>
                    <w:jc w:val="center"/>
                    <w:rPr>
                      <w:rFonts w:hint="default" w:ascii="Times New Roman" w:hAnsi="Times New Roman" w:eastAsia="宋体" w:cs="Times New Roman"/>
                      <w:color w:val="FF0000"/>
                      <w:sz w:val="21"/>
                      <w:szCs w:val="21"/>
                      <w:lang w:val="en-US" w:eastAsia="zh-CN"/>
                    </w:rPr>
                  </w:pPr>
                </w:p>
              </w:tc>
              <w:tc>
                <w:tcPr>
                  <w:tcW w:w="1419" w:type="pct"/>
                  <w:tcBorders>
                    <w:tl2br w:val="nil"/>
                    <w:tr2bl w:val="nil"/>
                  </w:tcBorders>
                  <w:noWrap w:val="0"/>
                  <w:vAlign w:val="center"/>
                </w:tcPr>
                <w:p w14:paraId="3D6AE639">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印刷生产线：印刷机上方设计集气罩，收集的废气经“气动旋流净化塔+干式过滤箱+活性炭吸附浓缩+催化燃烧”处理装置处理后通过15米高排气筒（DA001）达标排放。</w:t>
                  </w:r>
                </w:p>
              </w:tc>
              <w:tc>
                <w:tcPr>
                  <w:tcW w:w="937" w:type="pct"/>
                  <w:vMerge w:val="continue"/>
                  <w:tcBorders>
                    <w:tl2br w:val="nil"/>
                    <w:tr2bl w:val="nil"/>
                  </w:tcBorders>
                  <w:noWrap w:val="0"/>
                  <w:vAlign w:val="center"/>
                </w:tcPr>
                <w:p w14:paraId="57C54CAD">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r>
            <w:tr w14:paraId="56892F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7339C3F4">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353" w:type="pct"/>
                  <w:vMerge w:val="continue"/>
                  <w:tcBorders>
                    <w:tl2br w:val="nil"/>
                    <w:tr2bl w:val="nil"/>
                  </w:tcBorders>
                  <w:noWrap w:val="0"/>
                  <w:vAlign w:val="center"/>
                </w:tcPr>
                <w:p w14:paraId="2BE14353">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233" w:type="pct"/>
                  <w:vMerge w:val="continue"/>
                  <w:tcBorders>
                    <w:tl2br w:val="nil"/>
                    <w:tr2bl w:val="nil"/>
                  </w:tcBorders>
                  <w:noWrap w:val="0"/>
                  <w:vAlign w:val="center"/>
                </w:tcPr>
                <w:p w14:paraId="505B6DE6">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520" w:type="pct"/>
                  <w:gridSpan w:val="2"/>
                  <w:tcBorders>
                    <w:tl2br w:val="nil"/>
                    <w:tr2bl w:val="nil"/>
                  </w:tcBorders>
                  <w:noWrap w:val="0"/>
                  <w:vAlign w:val="center"/>
                </w:tcPr>
                <w:p w14:paraId="692FDA71">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烘房</w:t>
                  </w:r>
                </w:p>
              </w:tc>
              <w:tc>
                <w:tcPr>
                  <w:tcW w:w="933" w:type="pct"/>
                  <w:tcBorders>
                    <w:tl2br w:val="nil"/>
                    <w:tr2bl w:val="nil"/>
                  </w:tcBorders>
                  <w:noWrap w:val="0"/>
                  <w:vAlign w:val="center"/>
                </w:tcPr>
                <w:p w14:paraId="29D95E20">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密闭，负压收集</w:t>
                  </w:r>
                </w:p>
              </w:tc>
              <w:tc>
                <w:tcPr>
                  <w:tcW w:w="224" w:type="pct"/>
                  <w:vMerge w:val="continue"/>
                  <w:tcBorders>
                    <w:tl2br w:val="nil"/>
                    <w:tr2bl w:val="nil"/>
                  </w:tcBorders>
                  <w:noWrap w:val="0"/>
                  <w:vAlign w:val="center"/>
                </w:tcPr>
                <w:p w14:paraId="23A61A2C">
                  <w:pPr>
                    <w:widowControl w:val="0"/>
                    <w:adjustRightInd/>
                    <w:snapToGrid/>
                    <w:spacing w:line="240" w:lineRule="auto"/>
                    <w:ind w:firstLine="0" w:firstLineChars="0"/>
                    <w:jc w:val="center"/>
                    <w:rPr>
                      <w:rFonts w:hint="default" w:ascii="Times New Roman" w:hAnsi="Times New Roman" w:eastAsia="宋体" w:cs="Times New Roman"/>
                      <w:color w:val="FF0000"/>
                      <w:sz w:val="21"/>
                      <w:szCs w:val="21"/>
                      <w:lang w:val="en-US" w:eastAsia="zh-CN"/>
                    </w:rPr>
                  </w:pPr>
                </w:p>
              </w:tc>
              <w:tc>
                <w:tcPr>
                  <w:tcW w:w="1419" w:type="pct"/>
                  <w:tcBorders>
                    <w:tl2br w:val="nil"/>
                    <w:tr2bl w:val="nil"/>
                  </w:tcBorders>
                  <w:noWrap w:val="0"/>
                  <w:vAlign w:val="center"/>
                </w:tcPr>
                <w:p w14:paraId="582C4501">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暂未建设</w:t>
                  </w:r>
                </w:p>
              </w:tc>
              <w:tc>
                <w:tcPr>
                  <w:tcW w:w="937" w:type="pct"/>
                  <w:vMerge w:val="continue"/>
                  <w:tcBorders>
                    <w:tl2br w:val="nil"/>
                    <w:tr2bl w:val="nil"/>
                  </w:tcBorders>
                  <w:noWrap w:val="0"/>
                  <w:vAlign w:val="center"/>
                </w:tcPr>
                <w:p w14:paraId="225C2ACA">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r>
            <w:tr w14:paraId="14A0A1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0A3C77B0">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353" w:type="pct"/>
                  <w:vMerge w:val="continue"/>
                  <w:tcBorders>
                    <w:tl2br w:val="nil"/>
                    <w:tr2bl w:val="nil"/>
                  </w:tcBorders>
                  <w:noWrap w:val="0"/>
                  <w:vAlign w:val="center"/>
                </w:tcPr>
                <w:p w14:paraId="0E653FAE">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233" w:type="pct"/>
                  <w:vMerge w:val="restart"/>
                  <w:tcBorders>
                    <w:tl2br w:val="nil"/>
                    <w:tr2bl w:val="nil"/>
                  </w:tcBorders>
                  <w:noWrap w:val="0"/>
                  <w:vAlign w:val="center"/>
                </w:tcPr>
                <w:p w14:paraId="6A4A9FE3">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p w14:paraId="308F2F79">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#生产车间</w:t>
                  </w:r>
                </w:p>
              </w:tc>
              <w:tc>
                <w:tcPr>
                  <w:tcW w:w="520" w:type="pct"/>
                  <w:gridSpan w:val="2"/>
                  <w:tcBorders>
                    <w:tl2br w:val="nil"/>
                    <w:tr2bl w:val="nil"/>
                  </w:tcBorders>
                  <w:noWrap w:val="0"/>
                  <w:vAlign w:val="center"/>
                </w:tcPr>
                <w:p w14:paraId="7E58F593">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配胶室</w:t>
                  </w:r>
                </w:p>
              </w:tc>
              <w:tc>
                <w:tcPr>
                  <w:tcW w:w="933" w:type="pct"/>
                  <w:tcBorders>
                    <w:tl2br w:val="nil"/>
                    <w:tr2bl w:val="nil"/>
                  </w:tcBorders>
                  <w:noWrap w:val="0"/>
                  <w:vAlign w:val="center"/>
                </w:tcPr>
                <w:p w14:paraId="3B7E35BD">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密闭，负压收集</w:t>
                  </w:r>
                </w:p>
              </w:tc>
              <w:tc>
                <w:tcPr>
                  <w:tcW w:w="224" w:type="pct"/>
                  <w:vMerge w:val="restart"/>
                  <w:tcBorders>
                    <w:tl2br w:val="nil"/>
                    <w:tr2bl w:val="nil"/>
                  </w:tcBorders>
                  <w:noWrap w:val="0"/>
                  <w:vAlign w:val="center"/>
                </w:tcPr>
                <w:p w14:paraId="6CB0F420">
                  <w:pPr>
                    <w:widowControl w:val="0"/>
                    <w:adjustRightInd/>
                    <w:snapToGrid/>
                    <w:spacing w:line="240" w:lineRule="auto"/>
                    <w:ind w:firstLine="0" w:firstLineChars="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2#生产车间</w:t>
                  </w:r>
                </w:p>
              </w:tc>
              <w:tc>
                <w:tcPr>
                  <w:tcW w:w="1419" w:type="pct"/>
                  <w:vMerge w:val="restart"/>
                  <w:tcBorders>
                    <w:tl2br w:val="nil"/>
                    <w:tr2bl w:val="nil"/>
                  </w:tcBorders>
                  <w:noWrap w:val="0"/>
                  <w:vAlign w:val="center"/>
                </w:tcPr>
                <w:p w14:paraId="09C4C30B">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暂未建设</w:t>
                  </w:r>
                </w:p>
              </w:tc>
              <w:tc>
                <w:tcPr>
                  <w:tcW w:w="937" w:type="pct"/>
                  <w:vMerge w:val="continue"/>
                  <w:tcBorders>
                    <w:tl2br w:val="nil"/>
                    <w:tr2bl w:val="nil"/>
                  </w:tcBorders>
                  <w:noWrap w:val="0"/>
                  <w:vAlign w:val="center"/>
                </w:tcPr>
                <w:p w14:paraId="63FF32FF">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r>
            <w:tr w14:paraId="250CE5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3E5A0C1D">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353" w:type="pct"/>
                  <w:vMerge w:val="continue"/>
                  <w:tcBorders>
                    <w:tl2br w:val="nil"/>
                    <w:tr2bl w:val="nil"/>
                  </w:tcBorders>
                  <w:noWrap w:val="0"/>
                  <w:vAlign w:val="center"/>
                </w:tcPr>
                <w:p w14:paraId="71EAFF82">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233" w:type="pct"/>
                  <w:vMerge w:val="continue"/>
                  <w:tcBorders>
                    <w:tl2br w:val="nil"/>
                    <w:tr2bl w:val="nil"/>
                  </w:tcBorders>
                  <w:noWrap w:val="0"/>
                  <w:vAlign w:val="center"/>
                </w:tcPr>
                <w:p w14:paraId="342B5CB8">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520" w:type="pct"/>
                  <w:gridSpan w:val="2"/>
                  <w:tcBorders>
                    <w:tl2br w:val="nil"/>
                    <w:tr2bl w:val="nil"/>
                  </w:tcBorders>
                  <w:noWrap w:val="0"/>
                  <w:vAlign w:val="center"/>
                </w:tcPr>
                <w:p w14:paraId="06214949">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涂布生产线</w:t>
                  </w:r>
                </w:p>
              </w:tc>
              <w:tc>
                <w:tcPr>
                  <w:tcW w:w="933" w:type="pct"/>
                  <w:tcBorders>
                    <w:tl2br w:val="nil"/>
                    <w:tr2bl w:val="nil"/>
                  </w:tcBorders>
                  <w:noWrap w:val="0"/>
                  <w:vAlign w:val="center"/>
                </w:tcPr>
                <w:p w14:paraId="5BD7C48B">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涂布机上设置集气罩</w:t>
                  </w:r>
                </w:p>
              </w:tc>
              <w:tc>
                <w:tcPr>
                  <w:tcW w:w="224" w:type="pct"/>
                  <w:vMerge w:val="continue"/>
                  <w:tcBorders>
                    <w:tl2br w:val="nil"/>
                    <w:tr2bl w:val="nil"/>
                  </w:tcBorders>
                  <w:noWrap w:val="0"/>
                  <w:vAlign w:val="center"/>
                </w:tcPr>
                <w:p w14:paraId="524C7794">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lang w:val="en-US" w:eastAsia="zh-CN"/>
                    </w:rPr>
                  </w:pPr>
                </w:p>
              </w:tc>
              <w:tc>
                <w:tcPr>
                  <w:tcW w:w="1419" w:type="pct"/>
                  <w:vMerge w:val="continue"/>
                  <w:tcBorders>
                    <w:tl2br w:val="nil"/>
                    <w:tr2bl w:val="nil"/>
                  </w:tcBorders>
                  <w:noWrap w:val="0"/>
                  <w:vAlign w:val="center"/>
                </w:tcPr>
                <w:p w14:paraId="238071D3">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lang w:val="en-US" w:eastAsia="zh-CN"/>
                    </w:rPr>
                  </w:pPr>
                </w:p>
              </w:tc>
              <w:tc>
                <w:tcPr>
                  <w:tcW w:w="937" w:type="pct"/>
                  <w:vMerge w:val="continue"/>
                  <w:tcBorders>
                    <w:tl2br w:val="nil"/>
                    <w:tr2bl w:val="nil"/>
                  </w:tcBorders>
                  <w:noWrap w:val="0"/>
                  <w:vAlign w:val="center"/>
                </w:tcPr>
                <w:p w14:paraId="5A79E5CD">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r>
            <w:tr w14:paraId="6AF3C8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1AA4600C">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353" w:type="pct"/>
                  <w:vMerge w:val="continue"/>
                  <w:tcBorders>
                    <w:tl2br w:val="nil"/>
                    <w:tr2bl w:val="nil"/>
                  </w:tcBorders>
                  <w:noWrap w:val="0"/>
                  <w:vAlign w:val="center"/>
                </w:tcPr>
                <w:p w14:paraId="5A4FDD7D">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233" w:type="pct"/>
                  <w:vMerge w:val="continue"/>
                  <w:tcBorders>
                    <w:tl2br w:val="nil"/>
                    <w:tr2bl w:val="nil"/>
                  </w:tcBorders>
                  <w:noWrap w:val="0"/>
                  <w:vAlign w:val="center"/>
                </w:tcPr>
                <w:p w14:paraId="4C0CC278">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520" w:type="pct"/>
                  <w:gridSpan w:val="2"/>
                  <w:tcBorders>
                    <w:tl2br w:val="nil"/>
                    <w:tr2bl w:val="nil"/>
                  </w:tcBorders>
                  <w:noWrap w:val="0"/>
                  <w:vAlign w:val="center"/>
                </w:tcPr>
                <w:p w14:paraId="6410A50E">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烘干生产线</w:t>
                  </w:r>
                </w:p>
              </w:tc>
              <w:tc>
                <w:tcPr>
                  <w:tcW w:w="933" w:type="pct"/>
                  <w:tcBorders>
                    <w:tl2br w:val="nil"/>
                    <w:tr2bl w:val="nil"/>
                  </w:tcBorders>
                  <w:noWrap w:val="0"/>
                  <w:vAlign w:val="center"/>
                </w:tcPr>
                <w:p w14:paraId="1476CEC4">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烘干炉通风口设置集气罩</w:t>
                  </w:r>
                </w:p>
              </w:tc>
              <w:tc>
                <w:tcPr>
                  <w:tcW w:w="224" w:type="pct"/>
                  <w:vMerge w:val="continue"/>
                  <w:tcBorders>
                    <w:tl2br w:val="nil"/>
                    <w:tr2bl w:val="nil"/>
                  </w:tcBorders>
                  <w:noWrap w:val="0"/>
                  <w:vAlign w:val="center"/>
                </w:tcPr>
                <w:p w14:paraId="3DBDE03E">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lang w:val="en-US" w:eastAsia="zh-CN"/>
                    </w:rPr>
                  </w:pPr>
                </w:p>
              </w:tc>
              <w:tc>
                <w:tcPr>
                  <w:tcW w:w="1419" w:type="pct"/>
                  <w:vMerge w:val="continue"/>
                  <w:tcBorders>
                    <w:tl2br w:val="nil"/>
                    <w:tr2bl w:val="nil"/>
                  </w:tcBorders>
                  <w:noWrap w:val="0"/>
                  <w:vAlign w:val="center"/>
                </w:tcPr>
                <w:p w14:paraId="2EB31EA2">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lang w:val="en-US" w:eastAsia="zh-CN"/>
                    </w:rPr>
                  </w:pPr>
                </w:p>
              </w:tc>
              <w:tc>
                <w:tcPr>
                  <w:tcW w:w="937" w:type="pct"/>
                  <w:vMerge w:val="continue"/>
                  <w:tcBorders>
                    <w:tl2br w:val="nil"/>
                    <w:tr2bl w:val="nil"/>
                  </w:tcBorders>
                  <w:noWrap w:val="0"/>
                  <w:vAlign w:val="center"/>
                </w:tcPr>
                <w:p w14:paraId="707BA971">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r>
            <w:tr w14:paraId="36092A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41DA3278">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353" w:type="pct"/>
                  <w:vMerge w:val="continue"/>
                  <w:tcBorders>
                    <w:tl2br w:val="nil"/>
                    <w:tr2bl w:val="nil"/>
                  </w:tcBorders>
                  <w:noWrap w:val="0"/>
                  <w:vAlign w:val="center"/>
                </w:tcPr>
                <w:p w14:paraId="0F64A9B5">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233" w:type="pct"/>
                  <w:vMerge w:val="continue"/>
                  <w:tcBorders>
                    <w:tl2br w:val="nil"/>
                    <w:tr2bl w:val="nil"/>
                  </w:tcBorders>
                  <w:noWrap w:val="0"/>
                  <w:vAlign w:val="center"/>
                </w:tcPr>
                <w:p w14:paraId="363C6A66">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520" w:type="pct"/>
                  <w:gridSpan w:val="2"/>
                  <w:tcBorders>
                    <w:tl2br w:val="nil"/>
                    <w:tr2bl w:val="nil"/>
                  </w:tcBorders>
                  <w:noWrap w:val="0"/>
                  <w:vAlign w:val="center"/>
                </w:tcPr>
                <w:p w14:paraId="7EA441DB">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印刷生产线</w:t>
                  </w:r>
                </w:p>
              </w:tc>
              <w:tc>
                <w:tcPr>
                  <w:tcW w:w="933" w:type="pct"/>
                  <w:tcBorders>
                    <w:tl2br w:val="nil"/>
                    <w:tr2bl w:val="nil"/>
                  </w:tcBorders>
                  <w:noWrap w:val="0"/>
                  <w:vAlign w:val="center"/>
                </w:tcPr>
                <w:p w14:paraId="1A5DC859">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印刷机上方设计集气罩</w:t>
                  </w:r>
                </w:p>
              </w:tc>
              <w:tc>
                <w:tcPr>
                  <w:tcW w:w="224" w:type="pct"/>
                  <w:vMerge w:val="continue"/>
                  <w:tcBorders>
                    <w:tl2br w:val="nil"/>
                    <w:tr2bl w:val="nil"/>
                  </w:tcBorders>
                  <w:noWrap w:val="0"/>
                  <w:vAlign w:val="center"/>
                </w:tcPr>
                <w:p w14:paraId="23EC9D01">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lang w:val="en-US" w:eastAsia="zh-CN"/>
                    </w:rPr>
                  </w:pPr>
                </w:p>
              </w:tc>
              <w:tc>
                <w:tcPr>
                  <w:tcW w:w="1419" w:type="pct"/>
                  <w:vMerge w:val="continue"/>
                  <w:tcBorders>
                    <w:tl2br w:val="nil"/>
                    <w:tr2bl w:val="nil"/>
                  </w:tcBorders>
                  <w:noWrap w:val="0"/>
                  <w:vAlign w:val="center"/>
                </w:tcPr>
                <w:p w14:paraId="650EFE3E">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lang w:val="en-US" w:eastAsia="zh-CN"/>
                    </w:rPr>
                  </w:pPr>
                </w:p>
              </w:tc>
              <w:tc>
                <w:tcPr>
                  <w:tcW w:w="937" w:type="pct"/>
                  <w:vMerge w:val="continue"/>
                  <w:tcBorders>
                    <w:tl2br w:val="nil"/>
                    <w:tr2bl w:val="nil"/>
                  </w:tcBorders>
                  <w:noWrap w:val="0"/>
                  <w:vAlign w:val="center"/>
                </w:tcPr>
                <w:p w14:paraId="1C0A88E5">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r>
            <w:tr w14:paraId="0313A7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17B192FE">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353" w:type="pct"/>
                  <w:vMerge w:val="continue"/>
                  <w:tcBorders>
                    <w:tl2br w:val="nil"/>
                    <w:tr2bl w:val="nil"/>
                  </w:tcBorders>
                  <w:noWrap w:val="0"/>
                  <w:vAlign w:val="center"/>
                </w:tcPr>
                <w:p w14:paraId="59600E87">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233" w:type="pct"/>
                  <w:vMerge w:val="continue"/>
                  <w:tcBorders>
                    <w:tl2br w:val="nil"/>
                    <w:tr2bl w:val="nil"/>
                  </w:tcBorders>
                  <w:noWrap w:val="0"/>
                  <w:vAlign w:val="center"/>
                </w:tcPr>
                <w:p w14:paraId="7A8B434C">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520" w:type="pct"/>
                  <w:gridSpan w:val="2"/>
                  <w:tcBorders>
                    <w:tl2br w:val="nil"/>
                    <w:tr2bl w:val="nil"/>
                  </w:tcBorders>
                  <w:noWrap w:val="0"/>
                  <w:vAlign w:val="center"/>
                </w:tcPr>
                <w:p w14:paraId="7AF21753">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烘房</w:t>
                  </w:r>
                </w:p>
              </w:tc>
              <w:tc>
                <w:tcPr>
                  <w:tcW w:w="933" w:type="pct"/>
                  <w:tcBorders>
                    <w:tl2br w:val="nil"/>
                    <w:tr2bl w:val="nil"/>
                  </w:tcBorders>
                  <w:noWrap w:val="0"/>
                  <w:vAlign w:val="center"/>
                </w:tcPr>
                <w:p w14:paraId="41404D68">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密闭，负压收集</w:t>
                  </w:r>
                </w:p>
              </w:tc>
              <w:tc>
                <w:tcPr>
                  <w:tcW w:w="224" w:type="pct"/>
                  <w:vMerge w:val="continue"/>
                  <w:tcBorders>
                    <w:tl2br w:val="nil"/>
                    <w:tr2bl w:val="nil"/>
                  </w:tcBorders>
                  <w:noWrap w:val="0"/>
                  <w:vAlign w:val="center"/>
                </w:tcPr>
                <w:p w14:paraId="1E5A6FE6">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1419" w:type="pct"/>
                  <w:vMerge w:val="continue"/>
                  <w:tcBorders>
                    <w:tl2br w:val="nil"/>
                    <w:tr2bl w:val="nil"/>
                  </w:tcBorders>
                  <w:noWrap w:val="0"/>
                  <w:vAlign w:val="center"/>
                </w:tcPr>
                <w:p w14:paraId="38F31661">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937" w:type="pct"/>
                  <w:vMerge w:val="continue"/>
                  <w:tcBorders>
                    <w:tl2br w:val="nil"/>
                    <w:tr2bl w:val="nil"/>
                  </w:tcBorders>
                  <w:noWrap w:val="0"/>
                  <w:vAlign w:val="center"/>
                </w:tcPr>
                <w:p w14:paraId="31863883">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r>
            <w:tr w14:paraId="608E4B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4F447554">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353" w:type="pct"/>
                  <w:vMerge w:val="continue"/>
                  <w:tcBorders>
                    <w:tl2br w:val="nil"/>
                    <w:tr2bl w:val="nil"/>
                  </w:tcBorders>
                  <w:noWrap w:val="0"/>
                  <w:vAlign w:val="center"/>
                </w:tcPr>
                <w:p w14:paraId="50070AFF">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233" w:type="pct"/>
                  <w:vMerge w:val="continue"/>
                  <w:tcBorders>
                    <w:tl2br w:val="nil"/>
                    <w:tr2bl w:val="nil"/>
                  </w:tcBorders>
                  <w:noWrap w:val="0"/>
                  <w:vAlign w:val="center"/>
                </w:tcPr>
                <w:p w14:paraId="283FFDF5">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p>
              </w:tc>
              <w:tc>
                <w:tcPr>
                  <w:tcW w:w="520" w:type="pct"/>
                  <w:gridSpan w:val="2"/>
                  <w:tcBorders>
                    <w:tl2br w:val="nil"/>
                    <w:tr2bl w:val="nil"/>
                  </w:tcBorders>
                  <w:noWrap w:val="0"/>
                  <w:vAlign w:val="center"/>
                </w:tcPr>
                <w:p w14:paraId="5481B08D">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危废暂存间</w:t>
                  </w:r>
                </w:p>
              </w:tc>
              <w:tc>
                <w:tcPr>
                  <w:tcW w:w="933" w:type="pct"/>
                  <w:tcBorders>
                    <w:tl2br w:val="nil"/>
                    <w:tr2bl w:val="nil"/>
                  </w:tcBorders>
                  <w:noWrap w:val="0"/>
                  <w:vAlign w:val="center"/>
                </w:tcPr>
                <w:p w14:paraId="5A5B00AD">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密闭，负压收集</w:t>
                  </w:r>
                </w:p>
              </w:tc>
              <w:tc>
                <w:tcPr>
                  <w:tcW w:w="224" w:type="pct"/>
                  <w:vMerge w:val="continue"/>
                  <w:tcBorders>
                    <w:tl2br w:val="nil"/>
                    <w:tr2bl w:val="nil"/>
                  </w:tcBorders>
                  <w:noWrap w:val="0"/>
                  <w:vAlign w:val="center"/>
                </w:tcPr>
                <w:p w14:paraId="4AA699E3">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c>
                <w:tcPr>
                  <w:tcW w:w="1419" w:type="pct"/>
                  <w:tcBorders>
                    <w:tl2br w:val="nil"/>
                    <w:tr2bl w:val="nil"/>
                  </w:tcBorders>
                  <w:noWrap w:val="0"/>
                  <w:vAlign w:val="center"/>
                </w:tcPr>
                <w:p w14:paraId="06C5625F">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auto"/>
                      <w:sz w:val="21"/>
                      <w:szCs w:val="21"/>
                      <w:highlight w:val="none"/>
                      <w:lang w:val="en-US" w:eastAsia="zh-CN"/>
                    </w:rPr>
                    <w:t>危废间暂存废气经“气动旋流净化塔+干式过滤箱+活性炭吸附浓缩+催化燃烧”处理装置处理后通过15米高排气筒（DA001）达标排放。</w:t>
                  </w:r>
                </w:p>
              </w:tc>
              <w:tc>
                <w:tcPr>
                  <w:tcW w:w="937" w:type="pct"/>
                  <w:vMerge w:val="continue"/>
                  <w:tcBorders>
                    <w:tl2br w:val="nil"/>
                    <w:tr2bl w:val="nil"/>
                  </w:tcBorders>
                  <w:noWrap w:val="0"/>
                  <w:vAlign w:val="center"/>
                </w:tcPr>
                <w:p w14:paraId="1B3FCCB7">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sz w:val="21"/>
                      <w:szCs w:val="21"/>
                    </w:rPr>
                  </w:pPr>
                </w:p>
              </w:tc>
            </w:tr>
            <w:tr w14:paraId="3E6CE1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restart"/>
                  <w:tcBorders>
                    <w:tl2br w:val="nil"/>
                    <w:tr2bl w:val="nil"/>
                  </w:tcBorders>
                  <w:noWrap w:val="0"/>
                  <w:vAlign w:val="center"/>
                </w:tcPr>
                <w:p w14:paraId="53E1BE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FF0000"/>
                      <w:spacing w:val="0"/>
                      <w:sz w:val="21"/>
                      <w:szCs w:val="21"/>
                      <w:lang w:eastAsia="zh-CN"/>
                    </w:rPr>
                  </w:pPr>
                </w:p>
              </w:tc>
              <w:tc>
                <w:tcPr>
                  <w:tcW w:w="353" w:type="pct"/>
                  <w:tcBorders>
                    <w:tl2br w:val="nil"/>
                    <w:tr2bl w:val="nil"/>
                  </w:tcBorders>
                  <w:noWrap w:val="0"/>
                  <w:vAlign w:val="center"/>
                </w:tcPr>
                <w:p w14:paraId="3B2EEDA2">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bCs/>
                      <w:color w:val="auto"/>
                      <w:sz w:val="21"/>
                      <w:szCs w:val="21"/>
                    </w:rPr>
                    <w:t>噪声</w:t>
                  </w:r>
                </w:p>
              </w:tc>
              <w:tc>
                <w:tcPr>
                  <w:tcW w:w="1687" w:type="pct"/>
                  <w:gridSpan w:val="4"/>
                  <w:tcBorders>
                    <w:tl2br w:val="nil"/>
                    <w:tr2bl w:val="nil"/>
                  </w:tcBorders>
                  <w:noWrap w:val="0"/>
                  <w:vAlign w:val="center"/>
                </w:tcPr>
                <w:p w14:paraId="030E2F62">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z w:val="21"/>
                      <w:szCs w:val="21"/>
                      <w:highlight w:val="none"/>
                      <w:lang w:val="en-US" w:eastAsia="zh-CN"/>
                    </w:rPr>
                    <w:t>优先选取低噪声设备，合理布设设备，加强设备维护。</w:t>
                  </w:r>
                </w:p>
              </w:tc>
              <w:tc>
                <w:tcPr>
                  <w:tcW w:w="1644" w:type="pct"/>
                  <w:gridSpan w:val="2"/>
                  <w:tcBorders>
                    <w:tl2br w:val="nil"/>
                    <w:tr2bl w:val="nil"/>
                  </w:tcBorders>
                  <w:noWrap w:val="0"/>
                  <w:vAlign w:val="center"/>
                </w:tcPr>
                <w:p w14:paraId="0DE48C8B">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z w:val="21"/>
                      <w:szCs w:val="21"/>
                      <w:highlight w:val="none"/>
                      <w:lang w:val="en-US" w:eastAsia="zh-CN"/>
                    </w:rPr>
                    <w:t>优选低噪声设备、基础减振、建筑隔声、消声，合理布设设备，加强设备维护。</w:t>
                  </w:r>
                </w:p>
              </w:tc>
              <w:tc>
                <w:tcPr>
                  <w:tcW w:w="937" w:type="pct"/>
                  <w:tcBorders>
                    <w:tl2br w:val="nil"/>
                    <w:tr2bl w:val="nil"/>
                  </w:tcBorders>
                  <w:noWrap w:val="0"/>
                  <w:vAlign w:val="center"/>
                </w:tcPr>
                <w:p w14:paraId="3963A617">
                  <w:pPr>
                    <w:pStyle w:val="29"/>
                    <w:keepNext w:val="0"/>
                    <w:keepLines w:val="0"/>
                    <w:pageBreakBefore w:val="0"/>
                    <w:widowControl w:val="0"/>
                    <w:kinsoku/>
                    <w:wordWrap/>
                    <w:overflowPunct/>
                    <w:topLinePunct w:val="0"/>
                    <w:autoSpaceDE/>
                    <w:autoSpaceDN/>
                    <w:bidi w:val="0"/>
                    <w:adjustRightInd w:val="0"/>
                    <w:snapToGrid w:val="0"/>
                    <w:spacing w:after="0"/>
                    <w:ind w:left="0" w:leftChars="0" w:right="0" w:rightChars="0" w:firstLine="0" w:firstLineChars="0"/>
                    <w:jc w:val="both"/>
                    <w:textAlignment w:val="auto"/>
                    <w:rPr>
                      <w:rFonts w:hint="default" w:ascii="Times New Roman" w:hAnsi="Times New Roman" w:eastAsia="宋体" w:cs="Times New Roman"/>
                      <w:color w:val="auto"/>
                      <w:spacing w:val="0"/>
                      <w:sz w:val="21"/>
                      <w:szCs w:val="21"/>
                      <w:lang w:eastAsia="zh-CN"/>
                    </w:rPr>
                  </w:pPr>
                  <w:r>
                    <w:rPr>
                      <w:rFonts w:hint="default" w:ascii="Times New Roman" w:hAnsi="Times New Roman" w:eastAsia="宋体" w:cs="Times New Roman"/>
                      <w:color w:val="auto"/>
                      <w:spacing w:val="0"/>
                      <w:sz w:val="21"/>
                      <w:szCs w:val="21"/>
                      <w:lang w:val="en-US" w:eastAsia="zh-CN"/>
                    </w:rPr>
                    <w:t>与环评一致</w:t>
                  </w:r>
                </w:p>
              </w:tc>
            </w:tr>
            <w:tr w14:paraId="64754F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2C2286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FF0000"/>
                      <w:spacing w:val="0"/>
                      <w:sz w:val="21"/>
                      <w:szCs w:val="21"/>
                      <w:lang w:eastAsia="zh-CN"/>
                    </w:rPr>
                  </w:pPr>
                </w:p>
              </w:tc>
              <w:tc>
                <w:tcPr>
                  <w:tcW w:w="353" w:type="pct"/>
                  <w:vMerge w:val="restart"/>
                  <w:tcBorders>
                    <w:tl2br w:val="nil"/>
                    <w:tr2bl w:val="nil"/>
                  </w:tcBorders>
                  <w:noWrap w:val="0"/>
                  <w:vAlign w:val="center"/>
                </w:tcPr>
                <w:p w14:paraId="70D1B8C8">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textAlignment w:val="auto"/>
                    <w:rPr>
                      <w:rFonts w:hint="default" w:ascii="Times New Roman" w:hAnsi="Times New Roman" w:eastAsia="宋体" w:cs="Times New Roman"/>
                      <w:color w:val="FF0000"/>
                      <w:spacing w:val="0"/>
                      <w:sz w:val="21"/>
                      <w:szCs w:val="21"/>
                      <w:lang w:val="en-US" w:eastAsia="zh-CN"/>
                    </w:rPr>
                  </w:pPr>
                  <w:r>
                    <w:rPr>
                      <w:rFonts w:hint="default" w:ascii="Times New Roman" w:hAnsi="Times New Roman" w:eastAsia="宋体" w:cs="Times New Roman"/>
                      <w:bCs/>
                      <w:color w:val="auto"/>
                      <w:sz w:val="21"/>
                      <w:szCs w:val="21"/>
                    </w:rPr>
                    <w:t>固体废物</w:t>
                  </w:r>
                </w:p>
              </w:tc>
              <w:tc>
                <w:tcPr>
                  <w:tcW w:w="1687" w:type="pct"/>
                  <w:gridSpan w:val="4"/>
                  <w:tcBorders>
                    <w:tl2br w:val="nil"/>
                    <w:tr2bl w:val="nil"/>
                  </w:tcBorders>
                  <w:noWrap w:val="0"/>
                  <w:vAlign w:val="center"/>
                </w:tcPr>
                <w:p w14:paraId="0B6592D3">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生活垃圾由环卫部门定期清运处理</w:t>
                  </w:r>
                </w:p>
              </w:tc>
              <w:tc>
                <w:tcPr>
                  <w:tcW w:w="1644" w:type="pct"/>
                  <w:gridSpan w:val="2"/>
                  <w:tcBorders>
                    <w:tl2br w:val="nil"/>
                    <w:tr2bl w:val="nil"/>
                  </w:tcBorders>
                  <w:noWrap w:val="0"/>
                  <w:vAlign w:val="center"/>
                </w:tcPr>
                <w:p w14:paraId="2322135A">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default" w:ascii="Times New Roman" w:hAnsi="Times New Roman" w:eastAsia="宋体" w:cs="Times New Roman"/>
                      <w:color w:val="FF0000"/>
                      <w:spacing w:val="0"/>
                      <w:sz w:val="21"/>
                      <w:szCs w:val="21"/>
                      <w:lang w:val="en-US" w:eastAsia="zh-CN"/>
                    </w:rPr>
                  </w:pPr>
                  <w:r>
                    <w:rPr>
                      <w:rFonts w:hint="default" w:ascii="Times New Roman" w:hAnsi="Times New Roman" w:eastAsia="宋体" w:cs="Times New Roman"/>
                      <w:color w:val="auto"/>
                      <w:sz w:val="21"/>
                      <w:szCs w:val="21"/>
                    </w:rPr>
                    <w:t>生活垃圾由环卫部门定期清运处理</w:t>
                  </w:r>
                </w:p>
              </w:tc>
              <w:tc>
                <w:tcPr>
                  <w:tcW w:w="937" w:type="pct"/>
                  <w:vMerge w:val="restart"/>
                  <w:tcBorders>
                    <w:tl2br w:val="nil"/>
                    <w:tr2bl w:val="nil"/>
                  </w:tcBorders>
                  <w:noWrap w:val="0"/>
                  <w:vAlign w:val="center"/>
                </w:tcPr>
                <w:p w14:paraId="1E777D7F">
                  <w:pPr>
                    <w:pStyle w:val="29"/>
                    <w:keepNext w:val="0"/>
                    <w:keepLines w:val="0"/>
                    <w:pageBreakBefore w:val="0"/>
                    <w:widowControl w:val="0"/>
                    <w:kinsoku/>
                    <w:wordWrap/>
                    <w:overflowPunct/>
                    <w:topLinePunct w:val="0"/>
                    <w:autoSpaceDE/>
                    <w:autoSpaceDN/>
                    <w:bidi w:val="0"/>
                    <w:adjustRightInd w:val="0"/>
                    <w:snapToGrid w:val="0"/>
                    <w:spacing w:after="0"/>
                    <w:ind w:left="0" w:leftChars="0" w:right="0" w:rightChars="0" w:firstLine="0" w:firstLineChars="0"/>
                    <w:jc w:val="both"/>
                    <w:textAlignment w:val="auto"/>
                    <w:rPr>
                      <w:rFonts w:hint="default" w:ascii="Times New Roman" w:hAnsi="Times New Roman" w:eastAsia="宋体" w:cs="Times New Roman"/>
                      <w:color w:val="FF0000"/>
                      <w:spacing w:val="0"/>
                      <w:sz w:val="21"/>
                      <w:szCs w:val="21"/>
                      <w:lang w:val="en-US" w:eastAsia="zh-CN"/>
                    </w:rPr>
                  </w:pPr>
                  <w:r>
                    <w:rPr>
                      <w:rFonts w:hint="default" w:ascii="Times New Roman" w:hAnsi="Times New Roman" w:eastAsia="宋体" w:cs="Times New Roman"/>
                      <w:color w:val="auto"/>
                      <w:spacing w:val="0"/>
                      <w:sz w:val="21"/>
                      <w:szCs w:val="21"/>
                      <w:lang w:val="en-US" w:eastAsia="zh-CN"/>
                    </w:rPr>
                    <w:t>危废暂存间面积</w:t>
                  </w:r>
                  <w:r>
                    <w:rPr>
                      <w:rFonts w:hint="default" w:ascii="Times New Roman" w:hAnsi="Times New Roman" w:eastAsia="宋体" w:cs="Times New Roman"/>
                      <w:color w:val="auto"/>
                      <w:spacing w:val="0"/>
                      <w:sz w:val="21"/>
                      <w:szCs w:val="21"/>
                      <w:vertAlign w:val="baseline"/>
                      <w:lang w:val="en-US" w:eastAsia="zh-CN"/>
                    </w:rPr>
                    <w:t>现阶段由于废气</w:t>
                  </w:r>
                  <w:r>
                    <w:rPr>
                      <w:rFonts w:hint="default" w:ascii="Times New Roman" w:hAnsi="Times New Roman" w:eastAsia="宋体" w:cs="Times New Roman"/>
                      <w:snapToGrid/>
                      <w:color w:val="auto"/>
                      <w:kern w:val="0"/>
                      <w:sz w:val="21"/>
                      <w:szCs w:val="21"/>
                      <w:lang w:val="en-US" w:eastAsia="zh-CN" w:bidi="ar-SA"/>
                    </w:rPr>
                    <w:t>污染防治设施的升级，新增</w:t>
                  </w:r>
                  <w:r>
                    <w:rPr>
                      <w:rFonts w:hint="default" w:ascii="Times New Roman" w:hAnsi="Times New Roman" w:eastAsia="宋体" w:cs="Times New Roman"/>
                      <w:color w:val="auto"/>
                      <w:kern w:val="0"/>
                      <w:sz w:val="21"/>
                      <w:szCs w:val="21"/>
                      <w:highlight w:val="none"/>
                      <w:lang w:eastAsia="zh-CN" w:bidi="ar-SA"/>
                    </w:rPr>
                    <w:t>废过滤介质</w:t>
                  </w:r>
                  <w:r>
                    <w:rPr>
                      <w:rFonts w:hint="default" w:ascii="Times New Roman" w:hAnsi="Times New Roman" w:eastAsia="宋体" w:cs="Times New Roman"/>
                      <w:color w:val="auto"/>
                      <w:kern w:val="0"/>
                      <w:sz w:val="21"/>
                      <w:szCs w:val="21"/>
                      <w:highlight w:val="none"/>
                      <w:lang w:val="en-US" w:eastAsia="zh-CN" w:bidi="ar-SA"/>
                    </w:rPr>
                    <w:t>和</w:t>
                  </w:r>
                  <w:r>
                    <w:rPr>
                      <w:rFonts w:hint="default" w:ascii="Times New Roman" w:hAnsi="Times New Roman" w:eastAsia="宋体" w:cs="Times New Roman"/>
                      <w:color w:val="auto"/>
                      <w:kern w:val="0"/>
                      <w:sz w:val="21"/>
                      <w:szCs w:val="21"/>
                      <w:highlight w:val="none"/>
                      <w:lang w:eastAsia="zh-CN" w:bidi="ar-SA"/>
                    </w:rPr>
                    <w:t>废催化剂</w:t>
                  </w:r>
                  <w:r>
                    <w:rPr>
                      <w:rFonts w:hint="default" w:ascii="Times New Roman" w:hAnsi="Times New Roman" w:eastAsia="宋体" w:cs="Times New Roman"/>
                      <w:color w:val="auto"/>
                      <w:spacing w:val="0"/>
                      <w:sz w:val="21"/>
                      <w:szCs w:val="21"/>
                      <w:vertAlign w:val="baseline"/>
                      <w:lang w:val="en-US" w:eastAsia="zh-CN"/>
                    </w:rPr>
                    <w:t>危险废物</w:t>
                  </w:r>
                  <w:r>
                    <w:rPr>
                      <w:rFonts w:hint="default" w:ascii="Times New Roman" w:hAnsi="Times New Roman" w:eastAsia="宋体" w:cs="Times New Roman"/>
                      <w:color w:val="auto"/>
                      <w:spacing w:val="0"/>
                      <w:sz w:val="21"/>
                      <w:szCs w:val="21"/>
                      <w:lang w:val="en-US" w:eastAsia="zh-CN"/>
                    </w:rPr>
                    <w:t>，</w:t>
                  </w:r>
                  <w:r>
                    <w:rPr>
                      <w:rFonts w:hint="default" w:ascii="Times New Roman" w:hAnsi="Times New Roman" w:eastAsia="宋体" w:cs="Times New Roman"/>
                      <w:color w:val="auto"/>
                      <w:kern w:val="0"/>
                      <w:sz w:val="21"/>
                      <w:szCs w:val="21"/>
                      <w:highlight w:val="none"/>
                      <w:lang w:val="en-US" w:eastAsia="zh-CN" w:bidi="ar-SA"/>
                    </w:rPr>
                    <w:t>危废暂存间</w:t>
                  </w:r>
                  <w:r>
                    <w:rPr>
                      <w:rFonts w:hint="default" w:ascii="Times New Roman" w:hAnsi="Times New Roman" w:eastAsia="宋体" w:cs="Times New Roman"/>
                      <w:color w:val="auto"/>
                      <w:spacing w:val="0"/>
                      <w:sz w:val="21"/>
                      <w:szCs w:val="21"/>
                      <w:lang w:val="en-US" w:eastAsia="zh-CN"/>
                    </w:rPr>
                    <w:t>较环评增加10m</w:t>
                  </w:r>
                  <w:r>
                    <w:rPr>
                      <w:rFonts w:hint="default" w:ascii="Times New Roman" w:hAnsi="Times New Roman" w:eastAsia="宋体" w:cs="Times New Roman"/>
                      <w:color w:val="auto"/>
                      <w:spacing w:val="0"/>
                      <w:sz w:val="21"/>
                      <w:szCs w:val="21"/>
                      <w:vertAlign w:val="superscript"/>
                      <w:lang w:val="en-US" w:eastAsia="zh-CN"/>
                    </w:rPr>
                    <w:t>2</w:t>
                  </w:r>
                  <w:r>
                    <w:rPr>
                      <w:rFonts w:hint="default" w:ascii="Times New Roman" w:hAnsi="Times New Roman" w:eastAsia="宋体" w:cs="Times New Roman"/>
                      <w:color w:val="auto"/>
                      <w:spacing w:val="0"/>
                      <w:sz w:val="21"/>
                      <w:szCs w:val="21"/>
                      <w:vertAlign w:val="baseline"/>
                      <w:lang w:val="en-US" w:eastAsia="zh-CN"/>
                    </w:rPr>
                    <w:t>，不属于重大变动。</w:t>
                  </w:r>
                </w:p>
              </w:tc>
            </w:tr>
            <w:tr w14:paraId="5C7DD5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7" w:type="pct"/>
                  <w:vMerge w:val="continue"/>
                  <w:tcBorders>
                    <w:tl2br w:val="nil"/>
                    <w:tr2bl w:val="nil"/>
                  </w:tcBorders>
                  <w:noWrap w:val="0"/>
                  <w:vAlign w:val="center"/>
                </w:tcPr>
                <w:p w14:paraId="0C099B72">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420" w:firstLineChars="200"/>
                    <w:jc w:val="left"/>
                    <w:textAlignment w:val="auto"/>
                    <w:rPr>
                      <w:rFonts w:hint="default" w:ascii="Times New Roman" w:hAnsi="Times New Roman" w:eastAsia="宋体" w:cs="Times New Roman"/>
                      <w:sz w:val="21"/>
                      <w:szCs w:val="21"/>
                    </w:rPr>
                  </w:pPr>
                </w:p>
              </w:tc>
              <w:tc>
                <w:tcPr>
                  <w:tcW w:w="353" w:type="pct"/>
                  <w:vMerge w:val="continue"/>
                  <w:tcBorders>
                    <w:tl2br w:val="nil"/>
                    <w:tr2bl w:val="nil"/>
                  </w:tcBorders>
                  <w:noWrap w:val="0"/>
                  <w:vAlign w:val="center"/>
                </w:tcPr>
                <w:p w14:paraId="4242A24C">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420" w:firstLineChars="200"/>
                    <w:jc w:val="left"/>
                    <w:textAlignment w:val="auto"/>
                    <w:rPr>
                      <w:rFonts w:hint="default" w:ascii="Times New Roman" w:hAnsi="Times New Roman" w:eastAsia="宋体" w:cs="Times New Roman"/>
                      <w:sz w:val="21"/>
                      <w:szCs w:val="21"/>
                    </w:rPr>
                  </w:pPr>
                </w:p>
              </w:tc>
              <w:tc>
                <w:tcPr>
                  <w:tcW w:w="1687" w:type="pct"/>
                  <w:gridSpan w:val="4"/>
                  <w:tcBorders>
                    <w:tl2br w:val="nil"/>
                    <w:tr2bl w:val="nil"/>
                  </w:tcBorders>
                  <w:noWrap w:val="0"/>
                  <w:vAlign w:val="center"/>
                </w:tcPr>
                <w:p w14:paraId="70D2092D">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边角料收集后外售</w:t>
                  </w:r>
                </w:p>
              </w:tc>
              <w:tc>
                <w:tcPr>
                  <w:tcW w:w="1644" w:type="pct"/>
                  <w:gridSpan w:val="2"/>
                  <w:tcBorders>
                    <w:tl2br w:val="nil"/>
                    <w:tr2bl w:val="nil"/>
                  </w:tcBorders>
                  <w:noWrap w:val="0"/>
                  <w:vAlign w:val="center"/>
                </w:tcPr>
                <w:p w14:paraId="347B0E9E">
                  <w:pPr>
                    <w:keepNext w:val="0"/>
                    <w:keepLines w:val="0"/>
                    <w:pageBreakBefore w:val="0"/>
                    <w:widowControl w:val="0"/>
                    <w:kinsoku/>
                    <w:wordWrap w:val="0"/>
                    <w:overflowPunct/>
                    <w:topLinePunct w:val="0"/>
                    <w:autoSpaceDE/>
                    <w:autoSpaceDN/>
                    <w:bidi w:val="0"/>
                    <w:adjustRightInd w:val="0"/>
                    <w:snapToGrid w:val="0"/>
                    <w:spacing w:after="0" w:line="240" w:lineRule="auto"/>
                    <w:ind w:right="0" w:rightChars="0"/>
                    <w:jc w:val="center"/>
                    <w:textAlignment w:val="auto"/>
                    <w:rPr>
                      <w:rFonts w:hint="default" w:ascii="Times New Roman" w:hAnsi="Times New Roman" w:eastAsia="宋体" w:cs="Times New Roman"/>
                      <w:color w:val="FF0000"/>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边角料收集后外售</w:t>
                  </w:r>
                </w:p>
              </w:tc>
              <w:tc>
                <w:tcPr>
                  <w:tcW w:w="937" w:type="pct"/>
                  <w:vMerge w:val="continue"/>
                  <w:tcBorders>
                    <w:tl2br w:val="nil"/>
                    <w:tr2bl w:val="nil"/>
                  </w:tcBorders>
                  <w:noWrap w:val="0"/>
                  <w:vAlign w:val="center"/>
                </w:tcPr>
                <w:p w14:paraId="5D2B8888">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420" w:firstLineChars="200"/>
                    <w:jc w:val="left"/>
                    <w:textAlignment w:val="auto"/>
                    <w:rPr>
                      <w:rFonts w:hint="default" w:ascii="Times New Roman" w:hAnsi="Times New Roman" w:eastAsia="宋体" w:cs="Times New Roman"/>
                      <w:color w:val="FF0000"/>
                      <w:kern w:val="0"/>
                      <w:sz w:val="21"/>
                      <w:szCs w:val="21"/>
                      <w:highlight w:val="none"/>
                      <w:lang w:val="en-US" w:eastAsia="zh-CN" w:bidi="ar-SA"/>
                    </w:rPr>
                  </w:pPr>
                </w:p>
              </w:tc>
            </w:tr>
            <w:tr w14:paraId="49E7FC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42" w:hRule="atLeast"/>
              </w:trPr>
              <w:tc>
                <w:tcPr>
                  <w:tcW w:w="377" w:type="pct"/>
                  <w:vMerge w:val="continue"/>
                  <w:tcBorders>
                    <w:tl2br w:val="nil"/>
                    <w:tr2bl w:val="nil"/>
                  </w:tcBorders>
                  <w:noWrap w:val="0"/>
                  <w:vAlign w:val="center"/>
                </w:tcPr>
                <w:p w14:paraId="19346899">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420" w:firstLineChars="200"/>
                    <w:jc w:val="left"/>
                    <w:textAlignment w:val="auto"/>
                    <w:rPr>
                      <w:rFonts w:hint="default" w:ascii="Times New Roman" w:hAnsi="Times New Roman" w:eastAsia="宋体" w:cs="Times New Roman"/>
                      <w:color w:val="FF0000"/>
                      <w:kern w:val="0"/>
                      <w:sz w:val="21"/>
                      <w:szCs w:val="21"/>
                      <w:highlight w:val="none"/>
                      <w:lang w:val="en-US" w:eastAsia="zh-CN" w:bidi="ar-SA"/>
                    </w:rPr>
                  </w:pPr>
                </w:p>
              </w:tc>
              <w:tc>
                <w:tcPr>
                  <w:tcW w:w="353" w:type="pct"/>
                  <w:vMerge w:val="continue"/>
                  <w:tcBorders>
                    <w:tl2br w:val="nil"/>
                    <w:tr2bl w:val="nil"/>
                  </w:tcBorders>
                  <w:noWrap w:val="0"/>
                  <w:vAlign w:val="center"/>
                </w:tcPr>
                <w:p w14:paraId="4F691807">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420" w:firstLineChars="200"/>
                    <w:jc w:val="left"/>
                    <w:textAlignment w:val="auto"/>
                    <w:rPr>
                      <w:rFonts w:hint="default" w:ascii="Times New Roman" w:hAnsi="Times New Roman" w:eastAsia="宋体" w:cs="Times New Roman"/>
                      <w:color w:val="FF0000"/>
                      <w:kern w:val="0"/>
                      <w:sz w:val="21"/>
                      <w:szCs w:val="21"/>
                      <w:highlight w:val="none"/>
                      <w:lang w:val="en-US" w:eastAsia="zh-CN" w:bidi="ar-SA"/>
                    </w:rPr>
                  </w:pPr>
                </w:p>
              </w:tc>
              <w:tc>
                <w:tcPr>
                  <w:tcW w:w="1687" w:type="pct"/>
                  <w:gridSpan w:val="4"/>
                  <w:tcBorders>
                    <w:tl2br w:val="nil"/>
                    <w:tr2bl w:val="nil"/>
                  </w:tcBorders>
                  <w:noWrap w:val="0"/>
                  <w:vAlign w:val="center"/>
                </w:tcPr>
                <w:p w14:paraId="131126DF">
                  <w:pPr>
                    <w:widowControl w:val="0"/>
                    <w:jc w:val="center"/>
                    <w:rPr>
                      <w:rFonts w:hint="default" w:ascii="Times New Roman" w:hAnsi="Times New Roman" w:eastAsia="宋体" w:cs="Times New Roman"/>
                      <w:color w:val="FF0000"/>
                      <w:kern w:val="0"/>
                      <w:sz w:val="21"/>
                      <w:szCs w:val="21"/>
                      <w:highlight w:val="none"/>
                      <w:lang w:val="en-US" w:eastAsia="zh-CN" w:bidi="ar-SA"/>
                    </w:rPr>
                  </w:pPr>
                  <w:r>
                    <w:rPr>
                      <w:rFonts w:hint="default" w:ascii="Times New Roman" w:hAnsi="Times New Roman" w:eastAsia="宋体" w:cs="Times New Roman"/>
                      <w:color w:val="auto"/>
                      <w:sz w:val="21"/>
                      <w:szCs w:val="21"/>
                      <w:lang w:val="en-US" w:eastAsia="zh-CN"/>
                    </w:rPr>
                    <w:t>废原料包装桶、废抹布、废胶、废活性炭贮存于危废暂存间内，定期交由有资质单位处置；拟设1间20m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危废暂存间，位于2#仓库内</w:t>
                  </w:r>
                </w:p>
              </w:tc>
              <w:tc>
                <w:tcPr>
                  <w:tcW w:w="1644" w:type="pct"/>
                  <w:gridSpan w:val="2"/>
                  <w:tcBorders>
                    <w:tl2br w:val="nil"/>
                    <w:tr2bl w:val="nil"/>
                  </w:tcBorders>
                  <w:noWrap w:val="0"/>
                  <w:vAlign w:val="center"/>
                </w:tcPr>
                <w:p w14:paraId="570A2A0F">
                  <w:pPr>
                    <w:pStyle w:val="9"/>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FF0000"/>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2#生产车间一层西北角设置一间占地面积30m</w:t>
                  </w:r>
                  <w:r>
                    <w:rPr>
                      <w:rFonts w:hint="default" w:ascii="Times New Roman" w:hAnsi="Times New Roman" w:eastAsia="宋体" w:cs="Times New Roman"/>
                      <w:color w:val="auto"/>
                      <w:kern w:val="0"/>
                      <w:sz w:val="21"/>
                      <w:szCs w:val="21"/>
                      <w:highlight w:val="none"/>
                      <w:vertAlign w:val="superscript"/>
                      <w:lang w:val="en-US" w:eastAsia="zh-CN" w:bidi="ar-SA"/>
                    </w:rPr>
                    <w:t>2</w:t>
                  </w:r>
                  <w:r>
                    <w:rPr>
                      <w:rFonts w:hint="default" w:ascii="Times New Roman" w:hAnsi="Times New Roman" w:eastAsia="宋体" w:cs="Times New Roman"/>
                      <w:color w:val="auto"/>
                      <w:kern w:val="0"/>
                      <w:sz w:val="21"/>
                      <w:szCs w:val="21"/>
                      <w:highlight w:val="none"/>
                      <w:lang w:val="en-US" w:eastAsia="zh-CN" w:bidi="ar-SA"/>
                    </w:rPr>
                    <w:t>的危废暂存间，用于暂存项目（现阶段）产生的危险废物</w:t>
                  </w:r>
                  <w:r>
                    <w:rPr>
                      <w:rFonts w:hint="default" w:ascii="Times New Roman" w:hAnsi="Times New Roman" w:eastAsia="宋体" w:cs="Times New Roman"/>
                      <w:color w:val="auto"/>
                      <w:kern w:val="0"/>
                      <w:sz w:val="21"/>
                      <w:szCs w:val="21"/>
                      <w:highlight w:val="none"/>
                      <w:lang w:eastAsia="zh-CN" w:bidi="ar-SA"/>
                    </w:rPr>
                    <w:t>：废原料包装桶、废抹布、废胶、废过滤介质、废催化剂和废活性炭。</w:t>
                  </w:r>
                  <w:r>
                    <w:rPr>
                      <w:rFonts w:hint="default" w:ascii="Times New Roman" w:hAnsi="Times New Roman" w:eastAsia="宋体" w:cs="Times New Roman"/>
                      <w:color w:val="auto"/>
                      <w:kern w:val="0"/>
                      <w:sz w:val="21"/>
                      <w:szCs w:val="21"/>
                      <w:highlight w:val="none"/>
                      <w:lang w:val="en-US" w:eastAsia="zh-CN" w:bidi="ar-SA"/>
                    </w:rPr>
                    <w:t>危险废</w:t>
                  </w:r>
                  <w: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物在危废间分类暂存后定期交由马鞍山澳新环保科技有限公司进</w:t>
                  </w:r>
                  <w:r>
                    <w:rPr>
                      <w:rFonts w:hint="default" w:ascii="Times New Roman" w:hAnsi="Times New Roman" w:eastAsia="宋体" w:cs="Times New Roman"/>
                      <w:color w:val="auto"/>
                      <w:kern w:val="0"/>
                      <w:sz w:val="21"/>
                      <w:szCs w:val="21"/>
                      <w:highlight w:val="none"/>
                      <w:lang w:val="en-US" w:eastAsia="zh-CN" w:bidi="ar-SA"/>
                    </w:rPr>
                    <w:t>行处置。</w:t>
                  </w:r>
                </w:p>
              </w:tc>
              <w:tc>
                <w:tcPr>
                  <w:tcW w:w="937" w:type="pct"/>
                  <w:vMerge w:val="continue"/>
                  <w:tcBorders>
                    <w:tl2br w:val="nil"/>
                    <w:tr2bl w:val="nil"/>
                  </w:tcBorders>
                  <w:noWrap w:val="0"/>
                  <w:vAlign w:val="center"/>
                </w:tcPr>
                <w:p w14:paraId="29B86A8D">
                  <w:pPr>
                    <w:pStyle w:val="46"/>
                    <w:keepNext w:val="0"/>
                    <w:keepLines w:val="0"/>
                    <w:pageBreakBefore w:val="0"/>
                    <w:widowControl w:val="0"/>
                    <w:kinsoku/>
                    <w:wordWrap/>
                    <w:overflowPunct/>
                    <w:topLinePunct w:val="0"/>
                    <w:autoSpaceDE/>
                    <w:autoSpaceDN/>
                    <w:bidi w:val="0"/>
                    <w:adjustRightInd w:val="0"/>
                    <w:snapToGrid w:val="0"/>
                    <w:spacing w:after="0" w:line="240" w:lineRule="auto"/>
                    <w:ind w:right="0" w:rightChars="0" w:firstLine="420" w:firstLineChars="200"/>
                    <w:jc w:val="left"/>
                    <w:textAlignment w:val="auto"/>
                    <w:rPr>
                      <w:rFonts w:hint="default" w:ascii="Times New Roman" w:hAnsi="Times New Roman" w:eastAsia="宋体" w:cs="Times New Roman"/>
                      <w:color w:val="FF0000"/>
                      <w:kern w:val="0"/>
                      <w:sz w:val="21"/>
                      <w:szCs w:val="21"/>
                      <w:highlight w:val="none"/>
                      <w:lang w:val="en-US" w:eastAsia="zh-CN" w:bidi="ar-SA"/>
                    </w:rPr>
                  </w:pPr>
                </w:p>
              </w:tc>
            </w:tr>
          </w:tbl>
          <w:p w14:paraId="4094515A">
            <w:pPr>
              <w:pStyle w:val="33"/>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baseline"/>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2.1.3产品方案</w:t>
            </w:r>
          </w:p>
          <w:p w14:paraId="03CD1F5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eastAsiaTheme="minorEastAsia"/>
                <w:b/>
                <w:bCs/>
                <w:color w:val="auto"/>
                <w:sz w:val="21"/>
                <w:szCs w:val="21"/>
                <w:lang w:val="en-US" w:eastAsia="zh-CN" w:bidi="ar-SA"/>
              </w:rPr>
            </w:pPr>
            <w:r>
              <w:rPr>
                <w:rFonts w:hint="eastAsia" w:ascii="Times New Roman" w:hAnsi="Times New Roman" w:cs="Times New Roman" w:eastAsiaTheme="minorEastAsia"/>
                <w:b/>
                <w:bCs/>
                <w:color w:val="auto"/>
                <w:sz w:val="21"/>
                <w:szCs w:val="21"/>
                <w:lang w:val="en-US" w:eastAsia="zh-CN" w:bidi="ar-SA"/>
              </w:rPr>
              <w:t>表2-2  产品方案及生产规模（现阶段）</w:t>
            </w:r>
          </w:p>
          <w:tbl>
            <w:tblPr>
              <w:tblStyle w:val="1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59"/>
              <w:gridCol w:w="1528"/>
              <w:gridCol w:w="2236"/>
              <w:gridCol w:w="2387"/>
              <w:gridCol w:w="2215"/>
            </w:tblGrid>
            <w:tr w14:paraId="776831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659" w:type="dxa"/>
                  <w:tcBorders>
                    <w:tl2br w:val="nil"/>
                    <w:tr2bl w:val="nil"/>
                  </w:tcBorders>
                  <w:noWrap w:val="0"/>
                  <w:vAlign w:val="center"/>
                </w:tcPr>
                <w:p w14:paraId="14C2CC86">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FF0000"/>
                      <w:sz w:val="21"/>
                      <w:szCs w:val="21"/>
                    </w:rPr>
                  </w:pPr>
                  <w:r>
                    <w:rPr>
                      <w:rFonts w:hint="default" w:ascii="Times New Roman" w:hAnsi="Times New Roman" w:eastAsia="宋体" w:cs="Times New Roman"/>
                      <w:b/>
                      <w:bCs/>
                      <w:color w:val="auto"/>
                      <w:sz w:val="21"/>
                      <w:szCs w:val="21"/>
                      <w:lang w:val="en-US" w:eastAsia="zh-CN"/>
                    </w:rPr>
                    <w:t>序号</w:t>
                  </w:r>
                </w:p>
              </w:tc>
              <w:tc>
                <w:tcPr>
                  <w:tcW w:w="1528" w:type="dxa"/>
                  <w:tcBorders>
                    <w:tl2br w:val="nil"/>
                    <w:tr2bl w:val="nil"/>
                  </w:tcBorders>
                  <w:noWrap w:val="0"/>
                  <w:vAlign w:val="center"/>
                </w:tcPr>
                <w:p w14:paraId="6B7AD79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宋体" w:cs="Times New Roman"/>
                      <w:b/>
                      <w:bCs/>
                      <w:color w:val="FF0000"/>
                      <w:sz w:val="21"/>
                      <w:szCs w:val="21"/>
                      <w:lang w:val="en-US" w:eastAsia="zh-CN"/>
                    </w:rPr>
                  </w:pPr>
                  <w:r>
                    <w:rPr>
                      <w:rFonts w:hint="default" w:ascii="Times New Roman" w:hAnsi="Times New Roman" w:eastAsia="宋体" w:cs="Times New Roman"/>
                      <w:b/>
                      <w:bCs/>
                      <w:color w:val="auto"/>
                      <w:sz w:val="21"/>
                      <w:szCs w:val="21"/>
                    </w:rPr>
                    <w:t>产品</w:t>
                  </w:r>
                  <w:r>
                    <w:rPr>
                      <w:rFonts w:hint="eastAsia" w:ascii="Times New Roman" w:hAnsi="Times New Roman" w:eastAsia="宋体" w:cs="Times New Roman"/>
                      <w:b/>
                      <w:bCs/>
                      <w:color w:val="auto"/>
                      <w:sz w:val="21"/>
                      <w:szCs w:val="21"/>
                      <w:lang w:val="en-US" w:eastAsia="zh-CN"/>
                    </w:rPr>
                    <w:t>名称</w:t>
                  </w:r>
                </w:p>
              </w:tc>
              <w:tc>
                <w:tcPr>
                  <w:tcW w:w="2236" w:type="dxa"/>
                  <w:tcBorders>
                    <w:tl2br w:val="nil"/>
                    <w:tr2bl w:val="nil"/>
                  </w:tcBorders>
                  <w:noWrap w:val="0"/>
                  <w:vAlign w:val="center"/>
                </w:tcPr>
                <w:p w14:paraId="5A9C0C8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FF0000"/>
                      <w:sz w:val="21"/>
                      <w:szCs w:val="21"/>
                    </w:rPr>
                  </w:pPr>
                  <w:r>
                    <w:rPr>
                      <w:rFonts w:hint="default" w:ascii="Times New Roman" w:hAnsi="Times New Roman" w:eastAsia="宋体" w:cs="Times New Roman"/>
                      <w:b/>
                      <w:bCs/>
                      <w:color w:val="auto"/>
                      <w:sz w:val="21"/>
                      <w:szCs w:val="21"/>
                      <w:lang w:val="en-US" w:eastAsia="zh-CN"/>
                    </w:rPr>
                    <w:t>环评设计</w:t>
                  </w:r>
                  <w:r>
                    <w:rPr>
                      <w:rFonts w:hint="default" w:ascii="Times New Roman" w:hAnsi="Times New Roman" w:eastAsia="宋体" w:cs="Times New Roman"/>
                      <w:b/>
                      <w:bCs/>
                      <w:color w:val="auto"/>
                      <w:sz w:val="21"/>
                      <w:szCs w:val="21"/>
                    </w:rPr>
                    <w:t>产品产量</w:t>
                  </w:r>
                </w:p>
              </w:tc>
              <w:tc>
                <w:tcPr>
                  <w:tcW w:w="2387" w:type="dxa"/>
                  <w:tcBorders>
                    <w:tl2br w:val="nil"/>
                    <w:tr2bl w:val="nil"/>
                  </w:tcBorders>
                  <w:noWrap w:val="0"/>
                  <w:vAlign w:val="center"/>
                </w:tcPr>
                <w:p w14:paraId="09069C0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FF0000"/>
                      <w:sz w:val="21"/>
                      <w:szCs w:val="21"/>
                      <w:lang w:val="en-US" w:eastAsia="zh-CN"/>
                    </w:rPr>
                  </w:pPr>
                  <w:r>
                    <w:rPr>
                      <w:rFonts w:hint="eastAsia" w:ascii="Times New Roman" w:hAnsi="Times New Roman" w:eastAsia="宋体" w:cs="Times New Roman"/>
                      <w:b/>
                      <w:bCs/>
                      <w:color w:val="auto"/>
                      <w:sz w:val="21"/>
                      <w:szCs w:val="21"/>
                      <w:lang w:val="en-US" w:eastAsia="zh-CN"/>
                    </w:rPr>
                    <w:t>现阶段</w:t>
                  </w:r>
                  <w:r>
                    <w:rPr>
                      <w:rFonts w:hint="default" w:ascii="Times New Roman" w:hAnsi="Times New Roman" w:eastAsia="宋体" w:cs="Times New Roman"/>
                      <w:b/>
                      <w:bCs/>
                      <w:color w:val="auto"/>
                      <w:sz w:val="21"/>
                      <w:szCs w:val="21"/>
                      <w:lang w:val="en-US" w:eastAsia="zh-CN"/>
                    </w:rPr>
                    <w:t>生产产品产量</w:t>
                  </w:r>
                </w:p>
              </w:tc>
              <w:tc>
                <w:tcPr>
                  <w:tcW w:w="2215" w:type="dxa"/>
                  <w:tcBorders>
                    <w:tl2br w:val="nil"/>
                    <w:tr2bl w:val="nil"/>
                  </w:tcBorders>
                  <w:noWrap w:val="0"/>
                  <w:vAlign w:val="center"/>
                </w:tcPr>
                <w:p w14:paraId="5441405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FF0000"/>
                      <w:sz w:val="21"/>
                      <w:szCs w:val="21"/>
                      <w:lang w:val="en-US" w:eastAsia="zh-CN"/>
                    </w:rPr>
                  </w:pPr>
                  <w:r>
                    <w:rPr>
                      <w:rFonts w:hint="eastAsia" w:ascii="Times New Roman" w:hAnsi="Times New Roman" w:eastAsia="宋体" w:cs="Times New Roman"/>
                      <w:b/>
                      <w:bCs/>
                      <w:color w:val="auto"/>
                      <w:sz w:val="21"/>
                      <w:szCs w:val="21"/>
                      <w:lang w:val="en-US" w:eastAsia="zh-CN"/>
                    </w:rPr>
                    <w:t>暂未建设产品产量</w:t>
                  </w:r>
                </w:p>
              </w:tc>
            </w:tr>
            <w:tr w14:paraId="1E8641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2" w:hRule="atLeast"/>
                <w:jc w:val="center"/>
              </w:trPr>
              <w:tc>
                <w:tcPr>
                  <w:tcW w:w="659" w:type="dxa"/>
                  <w:tcBorders>
                    <w:tl2br w:val="nil"/>
                    <w:tr2bl w:val="nil"/>
                  </w:tcBorders>
                  <w:noWrap w:val="0"/>
                  <w:vAlign w:val="center"/>
                </w:tcPr>
                <w:p w14:paraId="3C91109C">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FF0000"/>
                      <w:sz w:val="21"/>
                      <w:szCs w:val="21"/>
                    </w:rPr>
                  </w:pPr>
                  <w:r>
                    <w:rPr>
                      <w:rFonts w:hint="default" w:ascii="Times New Roman" w:hAnsi="Times New Roman" w:eastAsia="宋体" w:cs="Times New Roman"/>
                      <w:bCs/>
                      <w:color w:val="auto"/>
                      <w:sz w:val="21"/>
                      <w:szCs w:val="21"/>
                    </w:rPr>
                    <w:t>1</w:t>
                  </w:r>
                </w:p>
              </w:tc>
              <w:tc>
                <w:tcPr>
                  <w:tcW w:w="1528" w:type="dxa"/>
                  <w:tcBorders>
                    <w:tl2br w:val="nil"/>
                    <w:tr2bl w:val="nil"/>
                  </w:tcBorders>
                  <w:noWrap w:val="0"/>
                  <w:vAlign w:val="center"/>
                </w:tcPr>
                <w:p w14:paraId="0E063B3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FF0000"/>
                      <w:sz w:val="21"/>
                      <w:szCs w:val="21"/>
                      <w:lang w:eastAsia="zh-CN"/>
                    </w:rPr>
                  </w:pPr>
                  <w:r>
                    <w:rPr>
                      <w:rFonts w:hint="default" w:ascii="Times New Roman" w:hAnsi="Times New Roman" w:eastAsia="宋体" w:cs="Times New Roman"/>
                      <w:color w:val="auto"/>
                      <w:sz w:val="21"/>
                      <w:szCs w:val="21"/>
                    </w:rPr>
                    <w:t>PVC保护膜</w:t>
                  </w:r>
                </w:p>
              </w:tc>
              <w:tc>
                <w:tcPr>
                  <w:tcW w:w="2236" w:type="dxa"/>
                  <w:tcBorders>
                    <w:tl2br w:val="nil"/>
                    <w:tr2bl w:val="nil"/>
                  </w:tcBorders>
                  <w:noWrap w:val="0"/>
                  <w:vAlign w:val="center"/>
                </w:tcPr>
                <w:p w14:paraId="5F9919E3">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FF0000"/>
                      <w:sz w:val="21"/>
                      <w:szCs w:val="21"/>
                      <w:lang w:eastAsia="zh-CN"/>
                    </w:rPr>
                  </w:pPr>
                  <w:r>
                    <w:rPr>
                      <w:rFonts w:hint="default" w:ascii="Times New Roman" w:hAnsi="Times New Roman" w:eastAsia="宋体" w:cs="Times New Roman"/>
                      <w:bCs/>
                      <w:color w:val="auto"/>
                      <w:sz w:val="21"/>
                      <w:szCs w:val="21"/>
                      <w:lang w:eastAsia="zh-CN"/>
                    </w:rPr>
                    <w:t>1.2亿平万米/年</w:t>
                  </w:r>
                </w:p>
              </w:tc>
              <w:tc>
                <w:tcPr>
                  <w:tcW w:w="2387" w:type="dxa"/>
                  <w:tcBorders>
                    <w:tl2br w:val="nil"/>
                    <w:tr2bl w:val="nil"/>
                  </w:tcBorders>
                  <w:noWrap w:val="0"/>
                  <w:vAlign w:val="center"/>
                </w:tcPr>
                <w:p w14:paraId="221E575B">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FF0000"/>
                      <w:sz w:val="21"/>
                      <w:szCs w:val="21"/>
                      <w:lang w:val="en-US" w:eastAsia="zh-CN"/>
                    </w:rPr>
                  </w:pPr>
                  <w:r>
                    <w:rPr>
                      <w:rFonts w:hint="default" w:ascii="Times New Roman" w:hAnsi="Times New Roman" w:eastAsia="宋体" w:cs="Times New Roman"/>
                      <w:color w:val="auto"/>
                      <w:sz w:val="21"/>
                      <w:szCs w:val="21"/>
                      <w:lang w:val="en-US" w:eastAsia="zh-CN"/>
                    </w:rPr>
                    <w:t>4000万平方米</w:t>
                  </w:r>
                  <w:r>
                    <w:rPr>
                      <w:rFonts w:hint="default" w:ascii="Times New Roman" w:hAnsi="Times New Roman" w:eastAsia="宋体" w:cs="Times New Roman"/>
                      <w:bCs/>
                      <w:color w:val="auto"/>
                      <w:sz w:val="21"/>
                      <w:szCs w:val="21"/>
                      <w:lang w:eastAsia="zh-CN"/>
                    </w:rPr>
                    <w:t>/年</w:t>
                  </w:r>
                </w:p>
              </w:tc>
              <w:tc>
                <w:tcPr>
                  <w:tcW w:w="2215" w:type="dxa"/>
                  <w:tcBorders>
                    <w:tl2br w:val="nil"/>
                    <w:tr2bl w:val="nil"/>
                  </w:tcBorders>
                  <w:noWrap w:val="0"/>
                  <w:vAlign w:val="center"/>
                </w:tcPr>
                <w:p w14:paraId="2389B02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Cs/>
                      <w:color w:val="FF0000"/>
                      <w:sz w:val="21"/>
                      <w:szCs w:val="21"/>
                      <w:lang w:val="en-US" w:eastAsia="zh-CN"/>
                    </w:rPr>
                  </w:pPr>
                  <w:r>
                    <w:rPr>
                      <w:rFonts w:hint="eastAsia" w:ascii="Times New Roman" w:hAnsi="Times New Roman" w:eastAsia="宋体" w:cs="Times New Roman"/>
                      <w:color w:val="auto"/>
                      <w:sz w:val="21"/>
                      <w:szCs w:val="21"/>
                      <w:lang w:val="en-US" w:eastAsia="zh-CN"/>
                    </w:rPr>
                    <w:t>80</w:t>
                  </w:r>
                  <w:r>
                    <w:rPr>
                      <w:rFonts w:hint="default" w:ascii="Times New Roman" w:hAnsi="Times New Roman" w:eastAsia="宋体" w:cs="Times New Roman"/>
                      <w:color w:val="auto"/>
                      <w:sz w:val="21"/>
                      <w:szCs w:val="21"/>
                      <w:lang w:val="en-US" w:eastAsia="zh-CN"/>
                    </w:rPr>
                    <w:t>00万平方米</w:t>
                  </w:r>
                  <w:r>
                    <w:rPr>
                      <w:rFonts w:hint="default" w:ascii="Times New Roman" w:hAnsi="Times New Roman" w:eastAsia="宋体" w:cs="Times New Roman"/>
                      <w:bCs/>
                      <w:color w:val="auto"/>
                      <w:sz w:val="21"/>
                      <w:szCs w:val="21"/>
                      <w:lang w:eastAsia="zh-CN"/>
                    </w:rPr>
                    <w:t>/年</w:t>
                  </w:r>
                </w:p>
              </w:tc>
            </w:tr>
          </w:tbl>
          <w:p w14:paraId="069AA3E8">
            <w:pPr>
              <w:pStyle w:val="33"/>
              <w:keepNext w:val="0"/>
              <w:keepLines w:val="0"/>
              <w:pageBreakBefore w:val="0"/>
              <w:kinsoku/>
              <w:wordWrap/>
              <w:overflowPunct/>
              <w:topLinePunct w:val="0"/>
              <w:autoSpaceDE/>
              <w:autoSpaceDN/>
              <w:bidi w:val="0"/>
              <w:adjustRightInd w:val="0"/>
              <w:spacing w:line="360" w:lineRule="auto"/>
              <w:ind w:left="0" w:leftChars="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2.1.4主要生产设备</w:t>
            </w:r>
          </w:p>
          <w:p w14:paraId="67638B7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cs="Times New Roman" w:eastAsiaTheme="minorEastAsia"/>
                <w:b/>
                <w:bCs/>
                <w:color w:val="auto"/>
                <w:sz w:val="21"/>
                <w:szCs w:val="21"/>
                <w:lang w:val="en-US" w:eastAsia="zh-CN" w:bidi="ar-SA"/>
              </w:rPr>
            </w:pPr>
            <w:r>
              <w:rPr>
                <w:rFonts w:hint="eastAsia" w:ascii="Times New Roman" w:hAnsi="Times New Roman" w:cs="Times New Roman" w:eastAsiaTheme="minorEastAsia"/>
                <w:b/>
                <w:bCs/>
                <w:color w:val="auto"/>
                <w:sz w:val="21"/>
                <w:szCs w:val="21"/>
                <w:lang w:val="en-US" w:eastAsia="zh-CN" w:bidi="ar-SA"/>
              </w:rPr>
              <w:t>表2-3 本项目（现阶段）主要生产设备规格、数量表</w:t>
            </w:r>
          </w:p>
          <w:tbl>
            <w:tblPr>
              <w:tblStyle w:val="19"/>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81"/>
              <w:gridCol w:w="1060"/>
              <w:gridCol w:w="1064"/>
              <w:gridCol w:w="1064"/>
              <w:gridCol w:w="1391"/>
              <w:gridCol w:w="1366"/>
              <w:gridCol w:w="2199"/>
            </w:tblGrid>
            <w:tr w14:paraId="2EB102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tcBorders>
                    <w:tl2br w:val="nil"/>
                    <w:tr2bl w:val="nil"/>
                  </w:tcBorders>
                  <w:noWrap w:val="0"/>
                  <w:vAlign w:val="center"/>
                </w:tcPr>
                <w:p w14:paraId="15CB8FEF">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rPr>
                  </w:pPr>
                  <w:r>
                    <w:rPr>
                      <w:rFonts w:hint="eastAsia" w:ascii="Times New Roman" w:hAnsi="Times New Roman" w:eastAsia="宋体" w:cs="Times New Roman"/>
                      <w:b/>
                      <w:bCs/>
                      <w:color w:val="auto"/>
                      <w:kern w:val="2"/>
                      <w:sz w:val="21"/>
                      <w:szCs w:val="21"/>
                      <w:lang w:val="en-US" w:eastAsia="zh-CN"/>
                    </w:rPr>
                    <w:t>车间</w:t>
                  </w:r>
                </w:p>
              </w:tc>
              <w:tc>
                <w:tcPr>
                  <w:tcW w:w="587" w:type="pct"/>
                  <w:tcBorders>
                    <w:tl2br w:val="nil"/>
                    <w:tr2bl w:val="nil"/>
                  </w:tcBorders>
                  <w:noWrap w:val="0"/>
                  <w:vAlign w:val="center"/>
                </w:tcPr>
                <w:p w14:paraId="56AB8794">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rPr>
                  </w:pPr>
                  <w:r>
                    <w:rPr>
                      <w:rFonts w:hint="default" w:ascii="Times New Roman" w:hAnsi="Times New Roman" w:eastAsia="宋体" w:cs="Times New Roman"/>
                      <w:b/>
                      <w:bCs/>
                      <w:color w:val="auto"/>
                      <w:kern w:val="2"/>
                      <w:sz w:val="21"/>
                      <w:szCs w:val="21"/>
                      <w:lang w:val="en-US" w:eastAsia="zh-CN"/>
                    </w:rPr>
                    <w:t>设备名称</w:t>
                  </w:r>
                </w:p>
              </w:tc>
              <w:tc>
                <w:tcPr>
                  <w:tcW w:w="589" w:type="pct"/>
                  <w:tcBorders>
                    <w:tl2br w:val="nil"/>
                    <w:tr2bl w:val="nil"/>
                  </w:tcBorders>
                  <w:noWrap w:val="0"/>
                  <w:vAlign w:val="center"/>
                </w:tcPr>
                <w:p w14:paraId="004198A2">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rPr>
                  </w:pPr>
                  <w:r>
                    <w:rPr>
                      <w:rFonts w:hint="default" w:ascii="Times New Roman" w:hAnsi="Times New Roman" w:eastAsia="宋体" w:cs="Times New Roman"/>
                      <w:b/>
                      <w:bCs/>
                      <w:color w:val="auto"/>
                      <w:kern w:val="2"/>
                      <w:sz w:val="21"/>
                      <w:szCs w:val="21"/>
                      <w:lang w:val="en-US" w:eastAsia="zh-CN"/>
                    </w:rPr>
                    <w:t>规格型号</w:t>
                  </w:r>
                </w:p>
              </w:tc>
              <w:tc>
                <w:tcPr>
                  <w:tcW w:w="589" w:type="pct"/>
                  <w:tcBorders>
                    <w:tl2br w:val="nil"/>
                    <w:tr2bl w:val="nil"/>
                  </w:tcBorders>
                  <w:noWrap w:val="0"/>
                  <w:vAlign w:val="center"/>
                </w:tcPr>
                <w:p w14:paraId="68C71F08">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rPr>
                  </w:pPr>
                  <w:r>
                    <w:rPr>
                      <w:rFonts w:hint="eastAsia" w:ascii="Times New Roman" w:hAnsi="Times New Roman" w:eastAsia="宋体" w:cs="Times New Roman"/>
                      <w:b/>
                      <w:bCs/>
                      <w:color w:val="auto"/>
                      <w:kern w:val="2"/>
                      <w:sz w:val="21"/>
                      <w:szCs w:val="21"/>
                      <w:lang w:val="en-US" w:eastAsia="zh-CN"/>
                    </w:rPr>
                    <w:t>环评</w:t>
                  </w:r>
                  <w:r>
                    <w:rPr>
                      <w:rFonts w:hint="default" w:ascii="Times New Roman" w:hAnsi="Times New Roman" w:eastAsia="宋体" w:cs="Times New Roman"/>
                      <w:b/>
                      <w:bCs/>
                      <w:color w:val="auto"/>
                      <w:kern w:val="2"/>
                      <w:sz w:val="21"/>
                      <w:szCs w:val="21"/>
                      <w:lang w:val="en-US" w:eastAsia="zh-CN"/>
                    </w:rPr>
                    <w:t>数量</w:t>
                  </w:r>
                </w:p>
              </w:tc>
              <w:tc>
                <w:tcPr>
                  <w:tcW w:w="770" w:type="pct"/>
                  <w:tcBorders>
                    <w:tl2br w:val="nil"/>
                    <w:tr2bl w:val="nil"/>
                  </w:tcBorders>
                  <w:shd w:val="clear" w:color="auto" w:fill="auto"/>
                  <w:noWrap w:val="0"/>
                  <w:vAlign w:val="center"/>
                </w:tcPr>
                <w:p w14:paraId="4DDC86AB">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rPr>
                    <w:t>现阶段</w:t>
                  </w:r>
                  <w:r>
                    <w:rPr>
                      <w:rFonts w:hint="default" w:ascii="Times New Roman" w:hAnsi="Times New Roman" w:eastAsia="宋体" w:cs="Times New Roman"/>
                      <w:b/>
                      <w:bCs/>
                      <w:color w:val="auto"/>
                      <w:kern w:val="2"/>
                      <w:sz w:val="21"/>
                      <w:szCs w:val="21"/>
                      <w:highlight w:val="none"/>
                      <w:lang w:val="en-US" w:eastAsia="zh-CN"/>
                    </w:rPr>
                    <w:t>数量</w:t>
                  </w:r>
                </w:p>
              </w:tc>
              <w:tc>
                <w:tcPr>
                  <w:tcW w:w="756" w:type="pct"/>
                  <w:tcBorders>
                    <w:tl2br w:val="nil"/>
                    <w:tr2bl w:val="nil"/>
                  </w:tcBorders>
                  <w:noWrap w:val="0"/>
                  <w:vAlign w:val="center"/>
                </w:tcPr>
                <w:p w14:paraId="7411164F">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rPr>
                  </w:pPr>
                  <w:r>
                    <w:rPr>
                      <w:rFonts w:hint="eastAsia" w:ascii="Times New Roman" w:hAnsi="Times New Roman" w:eastAsia="宋体" w:cs="Times New Roman"/>
                      <w:b/>
                      <w:bCs/>
                      <w:color w:val="auto"/>
                      <w:kern w:val="2"/>
                      <w:sz w:val="21"/>
                      <w:szCs w:val="21"/>
                      <w:highlight w:val="none"/>
                      <w:lang w:val="en-US" w:eastAsia="zh-CN"/>
                    </w:rPr>
                    <w:t>后续建设量</w:t>
                  </w:r>
                </w:p>
              </w:tc>
              <w:tc>
                <w:tcPr>
                  <w:tcW w:w="1218" w:type="pct"/>
                  <w:tcBorders>
                    <w:tl2br w:val="nil"/>
                    <w:tr2bl w:val="nil"/>
                  </w:tcBorders>
                  <w:noWrap w:val="0"/>
                  <w:vAlign w:val="center"/>
                </w:tcPr>
                <w:p w14:paraId="4F7888F1">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rPr>
                  </w:pPr>
                  <w:r>
                    <w:rPr>
                      <w:rFonts w:hint="eastAsia" w:ascii="Times New Roman" w:hAnsi="Times New Roman" w:eastAsia="宋体" w:cs="Times New Roman"/>
                      <w:b/>
                      <w:bCs/>
                      <w:color w:val="auto"/>
                      <w:kern w:val="2"/>
                      <w:sz w:val="21"/>
                      <w:szCs w:val="21"/>
                      <w:highlight w:val="none"/>
                      <w:lang w:val="en-US" w:eastAsia="zh-CN"/>
                    </w:rPr>
                    <w:t>备注</w:t>
                  </w:r>
                </w:p>
              </w:tc>
            </w:tr>
            <w:tr w14:paraId="4C1A7D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restart"/>
                  <w:tcBorders>
                    <w:tl2br w:val="nil"/>
                    <w:tr2bl w:val="nil"/>
                  </w:tcBorders>
                  <w:noWrap w:val="0"/>
                  <w:vAlign w:val="center"/>
                </w:tcPr>
                <w:p w14:paraId="28D252A4">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4"/>
                      <w:lang w:val="en-US" w:eastAsia="zh-CN"/>
                    </w:rPr>
                    <w:t>1#生产车间</w:t>
                  </w:r>
                </w:p>
              </w:tc>
              <w:tc>
                <w:tcPr>
                  <w:tcW w:w="587" w:type="pct"/>
                  <w:tcBorders>
                    <w:tl2br w:val="nil"/>
                    <w:tr2bl w:val="nil"/>
                  </w:tcBorders>
                  <w:noWrap w:val="0"/>
                  <w:vAlign w:val="center"/>
                </w:tcPr>
                <w:p w14:paraId="6F6BB08A">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涂布机</w:t>
                  </w:r>
                </w:p>
              </w:tc>
              <w:tc>
                <w:tcPr>
                  <w:tcW w:w="589" w:type="pct"/>
                  <w:tcBorders>
                    <w:tl2br w:val="nil"/>
                    <w:tr2bl w:val="nil"/>
                  </w:tcBorders>
                  <w:noWrap w:val="0"/>
                  <w:vAlign w:val="center"/>
                </w:tcPr>
                <w:p w14:paraId="3FE6C535">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YR-1300</w:t>
                  </w:r>
                </w:p>
              </w:tc>
              <w:tc>
                <w:tcPr>
                  <w:tcW w:w="589" w:type="pct"/>
                  <w:tcBorders>
                    <w:tl2br w:val="nil"/>
                    <w:tr2bl w:val="nil"/>
                  </w:tcBorders>
                  <w:noWrap w:val="0"/>
                  <w:vAlign w:val="center"/>
                </w:tcPr>
                <w:p w14:paraId="71ADB9E4">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rPr>
                    <w:t>3</w:t>
                  </w:r>
                  <w:r>
                    <w:rPr>
                      <w:rFonts w:hint="eastAsia" w:ascii="Times New Roman" w:hAnsi="Times New Roman" w:eastAsia="宋体"/>
                      <w:color w:val="auto"/>
                      <w:sz w:val="21"/>
                      <w:szCs w:val="21"/>
                    </w:rPr>
                    <w:t>台</w:t>
                  </w:r>
                </w:p>
              </w:tc>
              <w:tc>
                <w:tcPr>
                  <w:tcW w:w="770" w:type="pct"/>
                  <w:tcBorders>
                    <w:tl2br w:val="nil"/>
                    <w:tr2bl w:val="nil"/>
                  </w:tcBorders>
                  <w:shd w:val="clear" w:color="auto" w:fill="auto"/>
                  <w:noWrap w:val="0"/>
                  <w:vAlign w:val="center"/>
                </w:tcPr>
                <w:p w14:paraId="7B8DBA59">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2台</w:t>
                  </w:r>
                </w:p>
              </w:tc>
              <w:tc>
                <w:tcPr>
                  <w:tcW w:w="756" w:type="pct"/>
                  <w:tcBorders>
                    <w:tl2br w:val="nil"/>
                    <w:tr2bl w:val="nil"/>
                  </w:tcBorders>
                  <w:noWrap w:val="0"/>
                  <w:vAlign w:val="center"/>
                </w:tcPr>
                <w:p w14:paraId="51D5F268">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highlight w:val="none"/>
                      <w:lang w:val="en-US" w:eastAsia="zh-CN" w:bidi="ar-SA"/>
                    </w:rPr>
                    <w:t>1台</w:t>
                  </w:r>
                </w:p>
              </w:tc>
              <w:tc>
                <w:tcPr>
                  <w:tcW w:w="1218" w:type="pct"/>
                  <w:tcBorders>
                    <w:tl2br w:val="nil"/>
                    <w:tr2bl w:val="nil"/>
                  </w:tcBorders>
                  <w:noWrap w:val="0"/>
                  <w:vAlign w:val="center"/>
                </w:tcPr>
                <w:p w14:paraId="0FD88895">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单台配备8个烘箱</w:t>
                  </w:r>
                </w:p>
              </w:tc>
            </w:tr>
            <w:tr w14:paraId="7CA42D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73DDED2E">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6E980390">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网纹辊</w:t>
                  </w:r>
                </w:p>
              </w:tc>
              <w:tc>
                <w:tcPr>
                  <w:tcW w:w="589" w:type="pct"/>
                  <w:tcBorders>
                    <w:tl2br w:val="nil"/>
                    <w:tr2bl w:val="nil"/>
                  </w:tcBorders>
                  <w:noWrap w:val="0"/>
                  <w:vAlign w:val="center"/>
                </w:tcPr>
                <w:p w14:paraId="62C522AA">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589" w:type="pct"/>
                  <w:tcBorders>
                    <w:tl2br w:val="nil"/>
                    <w:tr2bl w:val="nil"/>
                  </w:tcBorders>
                  <w:noWrap w:val="0"/>
                  <w:vAlign w:val="center"/>
                </w:tcPr>
                <w:p w14:paraId="17F736C1">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条</w:t>
                  </w:r>
                </w:p>
              </w:tc>
              <w:tc>
                <w:tcPr>
                  <w:tcW w:w="770" w:type="pct"/>
                  <w:tcBorders>
                    <w:tl2br w:val="nil"/>
                    <w:tr2bl w:val="nil"/>
                  </w:tcBorders>
                  <w:shd w:val="clear" w:color="auto" w:fill="auto"/>
                  <w:noWrap w:val="0"/>
                  <w:vAlign w:val="center"/>
                </w:tcPr>
                <w:p w14:paraId="51B9B08E">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11条</w:t>
                  </w:r>
                </w:p>
              </w:tc>
              <w:tc>
                <w:tcPr>
                  <w:tcW w:w="756" w:type="pct"/>
                  <w:tcBorders>
                    <w:tl2br w:val="nil"/>
                    <w:tr2bl w:val="nil"/>
                  </w:tcBorders>
                  <w:noWrap w:val="0"/>
                  <w:vAlign w:val="center"/>
                </w:tcPr>
                <w:p w14:paraId="2DC37FA5">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218" w:type="pct"/>
                  <w:tcBorders>
                    <w:tl2br w:val="nil"/>
                    <w:tr2bl w:val="nil"/>
                  </w:tcBorders>
                  <w:noWrap w:val="0"/>
                  <w:vAlign w:val="center"/>
                </w:tcPr>
                <w:p w14:paraId="44DD9AE4">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全厂</w:t>
                  </w:r>
                  <w:r>
                    <w:rPr>
                      <w:rFonts w:hint="default" w:ascii="Times New Roman" w:hAnsi="Times New Roman" w:eastAsia="宋体" w:cs="Times New Roman"/>
                      <w:color w:val="auto"/>
                      <w:kern w:val="2"/>
                      <w:sz w:val="21"/>
                      <w:szCs w:val="21"/>
                      <w:lang w:val="en-US" w:eastAsia="zh-CN" w:bidi="ar-SA"/>
                    </w:rPr>
                    <w:t>网纹辊</w:t>
                  </w:r>
                  <w:r>
                    <w:rPr>
                      <w:rFonts w:hint="eastAsia" w:ascii="Times New Roman" w:hAnsi="Times New Roman" w:eastAsia="宋体" w:cs="Times New Roman"/>
                      <w:color w:val="auto"/>
                      <w:kern w:val="2"/>
                      <w:sz w:val="21"/>
                      <w:szCs w:val="21"/>
                      <w:highlight w:val="none"/>
                      <w:lang w:val="en-US" w:eastAsia="zh-CN" w:bidi="ar-SA"/>
                    </w:rPr>
                    <w:t>共</w:t>
                  </w:r>
                  <w:r>
                    <w:rPr>
                      <w:rFonts w:hint="default" w:ascii="Times New Roman" w:hAnsi="Times New Roman" w:eastAsia="宋体" w:cs="Times New Roman"/>
                      <w:color w:val="auto"/>
                      <w:kern w:val="2"/>
                      <w:sz w:val="21"/>
                      <w:szCs w:val="21"/>
                      <w:highlight w:val="none"/>
                      <w:lang w:val="en-US" w:eastAsia="zh-CN" w:bidi="ar-SA"/>
                    </w:rPr>
                    <w:t>增加</w:t>
                  </w:r>
                  <w:r>
                    <w:rPr>
                      <w:rFonts w:hint="eastAsia" w:ascii="Times New Roman" w:hAnsi="Times New Roman" w:eastAsia="宋体" w:cs="Times New Roman"/>
                      <w:color w:val="auto"/>
                      <w:kern w:val="2"/>
                      <w:sz w:val="21"/>
                      <w:szCs w:val="21"/>
                      <w:highlight w:val="none"/>
                      <w:lang w:val="en-US" w:eastAsia="zh-CN" w:bidi="ar-SA"/>
                    </w:rPr>
                    <w:t>5</w:t>
                  </w:r>
                  <w:r>
                    <w:rPr>
                      <w:rFonts w:hint="default" w:ascii="Times New Roman" w:hAnsi="Times New Roman" w:eastAsia="宋体" w:cs="Times New Roman"/>
                      <w:color w:val="auto"/>
                      <w:kern w:val="2"/>
                      <w:sz w:val="21"/>
                      <w:szCs w:val="21"/>
                      <w:highlight w:val="none"/>
                      <w:lang w:val="en-US" w:eastAsia="zh-CN" w:bidi="ar-SA"/>
                    </w:rPr>
                    <w:t>个，网纹辊在常温</w:t>
                  </w:r>
                  <w:r>
                    <w:rPr>
                      <w:rFonts w:hint="default" w:ascii="Times New Roman" w:hAnsi="Times New Roman" w:eastAsia="宋体" w:cs="Times New Roman"/>
                      <w:color w:val="auto"/>
                      <w:kern w:val="2"/>
                      <w:sz w:val="21"/>
                      <w:szCs w:val="21"/>
                      <w:lang w:val="en-US" w:eastAsia="zh-CN" w:bidi="ar-SA"/>
                    </w:rPr>
                    <w:t>常压下对PVC膜进行挤压，在PVC膜表面压制形成一定的花纹，压纹过程为物理过程</w:t>
                  </w:r>
                  <w:r>
                    <w:rPr>
                      <w:rFonts w:hint="eastAsia" w:ascii="Times New Roman" w:hAnsi="Times New Roman" w:eastAsia="宋体" w:cs="Times New Roman"/>
                      <w:color w:val="auto"/>
                      <w:kern w:val="2"/>
                      <w:sz w:val="21"/>
                      <w:szCs w:val="21"/>
                      <w:lang w:val="en-US" w:eastAsia="zh-CN" w:bidi="ar-SA"/>
                    </w:rPr>
                    <w:t>，不新增污染物，不新增产能。</w:t>
                  </w:r>
                </w:p>
              </w:tc>
            </w:tr>
            <w:tr w14:paraId="2E90D5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223F1CE4">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6F08323F">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分切机</w:t>
                  </w:r>
                </w:p>
              </w:tc>
              <w:tc>
                <w:tcPr>
                  <w:tcW w:w="589" w:type="pct"/>
                  <w:tcBorders>
                    <w:tl2br w:val="nil"/>
                    <w:tr2bl w:val="nil"/>
                  </w:tcBorders>
                  <w:noWrap w:val="0"/>
                  <w:vAlign w:val="center"/>
                </w:tcPr>
                <w:p w14:paraId="1C45B5BA">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YT-2500</w:t>
                  </w:r>
                </w:p>
              </w:tc>
              <w:tc>
                <w:tcPr>
                  <w:tcW w:w="589" w:type="pct"/>
                  <w:tcBorders>
                    <w:tl2br w:val="nil"/>
                    <w:tr2bl w:val="nil"/>
                  </w:tcBorders>
                  <w:noWrap w:val="0"/>
                  <w:vAlign w:val="center"/>
                </w:tcPr>
                <w:p w14:paraId="61F538FD">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3</w:t>
                  </w:r>
                  <w:r>
                    <w:rPr>
                      <w:rFonts w:hint="eastAsia" w:ascii="Times New Roman" w:hAnsi="Times New Roman" w:eastAsia="宋体"/>
                      <w:color w:val="auto"/>
                      <w:sz w:val="21"/>
                      <w:szCs w:val="21"/>
                    </w:rPr>
                    <w:t>台</w:t>
                  </w:r>
                </w:p>
              </w:tc>
              <w:tc>
                <w:tcPr>
                  <w:tcW w:w="770" w:type="pct"/>
                  <w:tcBorders>
                    <w:tl2br w:val="nil"/>
                    <w:tr2bl w:val="nil"/>
                  </w:tcBorders>
                  <w:shd w:val="clear" w:color="auto" w:fill="auto"/>
                  <w:noWrap w:val="0"/>
                  <w:vAlign w:val="center"/>
                </w:tcPr>
                <w:p w14:paraId="13ABDA37">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2台</w:t>
                  </w:r>
                </w:p>
              </w:tc>
              <w:tc>
                <w:tcPr>
                  <w:tcW w:w="756" w:type="pct"/>
                  <w:tcBorders>
                    <w:tl2br w:val="nil"/>
                    <w:tr2bl w:val="nil"/>
                  </w:tcBorders>
                  <w:noWrap w:val="0"/>
                  <w:vAlign w:val="center"/>
                </w:tcPr>
                <w:p w14:paraId="61F2E81E">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highlight w:val="none"/>
                      <w:lang w:val="en-US" w:eastAsia="zh-CN" w:bidi="ar-SA"/>
                    </w:rPr>
                    <w:t>1台</w:t>
                  </w:r>
                </w:p>
              </w:tc>
              <w:tc>
                <w:tcPr>
                  <w:tcW w:w="1218" w:type="pct"/>
                  <w:tcBorders>
                    <w:tl2br w:val="nil"/>
                    <w:tr2bl w:val="nil"/>
                  </w:tcBorders>
                  <w:noWrap w:val="0"/>
                  <w:vAlign w:val="center"/>
                </w:tcPr>
                <w:p w14:paraId="4D535904">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43B227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4046F949">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123659E9">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电热风炉</w:t>
                  </w:r>
                </w:p>
              </w:tc>
              <w:tc>
                <w:tcPr>
                  <w:tcW w:w="589" w:type="pct"/>
                  <w:tcBorders>
                    <w:tl2br w:val="nil"/>
                    <w:tr2bl w:val="nil"/>
                  </w:tcBorders>
                  <w:noWrap w:val="0"/>
                  <w:vAlign w:val="center"/>
                </w:tcPr>
                <w:p w14:paraId="593F2FAB">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589" w:type="pct"/>
                  <w:tcBorders>
                    <w:tl2br w:val="nil"/>
                    <w:tr2bl w:val="nil"/>
                  </w:tcBorders>
                  <w:noWrap w:val="0"/>
                  <w:vAlign w:val="center"/>
                </w:tcPr>
                <w:p w14:paraId="20BD5918">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台</w:t>
                  </w:r>
                </w:p>
              </w:tc>
              <w:tc>
                <w:tcPr>
                  <w:tcW w:w="770" w:type="pct"/>
                  <w:tcBorders>
                    <w:tl2br w:val="nil"/>
                    <w:tr2bl w:val="nil"/>
                  </w:tcBorders>
                  <w:shd w:val="clear" w:color="auto" w:fill="auto"/>
                  <w:noWrap w:val="0"/>
                  <w:vAlign w:val="center"/>
                </w:tcPr>
                <w:p w14:paraId="4770D1A5">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0台</w:t>
                  </w:r>
                </w:p>
              </w:tc>
              <w:tc>
                <w:tcPr>
                  <w:tcW w:w="756" w:type="pct"/>
                  <w:tcBorders>
                    <w:tl2br w:val="nil"/>
                    <w:tr2bl w:val="nil"/>
                  </w:tcBorders>
                  <w:noWrap w:val="0"/>
                  <w:vAlign w:val="center"/>
                </w:tcPr>
                <w:p w14:paraId="1568D8D9">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highlight w:val="none"/>
                      <w:lang w:val="en-US" w:eastAsia="zh-CN" w:bidi="ar-SA"/>
                    </w:rPr>
                    <w:t>3台</w:t>
                  </w:r>
                </w:p>
              </w:tc>
              <w:tc>
                <w:tcPr>
                  <w:tcW w:w="1218" w:type="pct"/>
                  <w:vMerge w:val="restart"/>
                  <w:tcBorders>
                    <w:tl2br w:val="nil"/>
                    <w:tr2bl w:val="nil"/>
                  </w:tcBorders>
                  <w:noWrap w:val="0"/>
                  <w:vAlign w:val="center"/>
                </w:tcPr>
                <w:p w14:paraId="2319FC19">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暂未建设，不在本次验收范围内。涂布机、印刷机设备配</w:t>
                  </w:r>
                  <w:r>
                    <w:rPr>
                      <w:rFonts w:hint="eastAsia" w:ascii="Times New Roman" w:hAnsi="Times New Roman" w:eastAsia="宋体" w:cs="Times New Roman"/>
                      <w:color w:val="auto"/>
                      <w:sz w:val="21"/>
                      <w:szCs w:val="21"/>
                      <w:highlight w:val="none"/>
                      <w:lang w:val="en-US" w:eastAsia="zh-CN" w:bidi="ar-SA"/>
                    </w:rPr>
                    <w:t>套</w:t>
                  </w:r>
                  <w:r>
                    <w:rPr>
                      <w:rFonts w:hint="default" w:ascii="Times New Roman" w:hAnsi="Times New Roman" w:eastAsia="宋体" w:cs="Times New Roman"/>
                      <w:color w:val="auto"/>
                      <w:sz w:val="21"/>
                      <w:szCs w:val="21"/>
                      <w:highlight w:val="none"/>
                      <w:lang w:val="en-US" w:eastAsia="zh-CN" w:bidi="ar-SA"/>
                    </w:rPr>
                    <w:t>烘</w:t>
                  </w:r>
                  <w:r>
                    <w:rPr>
                      <w:rFonts w:ascii="宋体" w:hAnsi="宋体" w:eastAsia="宋体" w:cs="Times New Roman"/>
                      <w:color w:val="auto"/>
                      <w:kern w:val="2"/>
                      <w:sz w:val="21"/>
                      <w:szCs w:val="28"/>
                      <w:lang w:val="en-US" w:eastAsia="zh-CN" w:bidi="ar-SA"/>
                    </w:rPr>
                    <w:t>箱</w:t>
                  </w:r>
                  <w:r>
                    <w:rPr>
                      <w:rFonts w:hint="eastAsia" w:ascii="宋体" w:hAnsi="宋体" w:eastAsia="宋体" w:cs="Times New Roman"/>
                      <w:color w:val="auto"/>
                      <w:kern w:val="2"/>
                      <w:sz w:val="21"/>
                      <w:szCs w:val="28"/>
                      <w:lang w:val="en-US" w:eastAsia="zh-CN" w:bidi="ar-SA"/>
                    </w:rPr>
                    <w:t>进行烘干工序。</w:t>
                  </w:r>
                </w:p>
              </w:tc>
            </w:tr>
            <w:tr w14:paraId="12F292A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198F1E0A">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p>
              </w:tc>
              <w:tc>
                <w:tcPr>
                  <w:tcW w:w="587" w:type="pct"/>
                  <w:tcBorders>
                    <w:tl2br w:val="nil"/>
                    <w:tr2bl w:val="nil"/>
                  </w:tcBorders>
                  <w:shd w:val="clear" w:color="auto" w:fill="auto"/>
                  <w:noWrap w:val="0"/>
                  <w:vAlign w:val="center"/>
                </w:tcPr>
                <w:p w14:paraId="6DD5CEF4">
                  <w:pPr>
                    <w:keepNext w:val="0"/>
                    <w:keepLines w:val="0"/>
                    <w:pageBreakBefore w:val="0"/>
                    <w:widowControl w:val="0"/>
                    <w:kinsoku/>
                    <w:wordWrap/>
                    <w:overflowPunct/>
                    <w:topLinePunct w:val="0"/>
                    <w:autoSpaceDE/>
                    <w:autoSpaceDN/>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烘房</w:t>
                  </w:r>
                </w:p>
              </w:tc>
              <w:tc>
                <w:tcPr>
                  <w:tcW w:w="589" w:type="pct"/>
                  <w:tcBorders>
                    <w:tl2br w:val="nil"/>
                    <w:tr2bl w:val="nil"/>
                  </w:tcBorders>
                  <w:shd w:val="clear" w:color="auto" w:fill="auto"/>
                  <w:noWrap w:val="0"/>
                  <w:vAlign w:val="center"/>
                </w:tcPr>
                <w:p w14:paraId="7E07BF15">
                  <w:pPr>
                    <w:keepNext w:val="0"/>
                    <w:keepLines w:val="0"/>
                    <w:pageBreakBefore w:val="0"/>
                    <w:widowControl w:val="0"/>
                    <w:kinsoku/>
                    <w:wordWrap/>
                    <w:overflowPunct/>
                    <w:topLinePunct w:val="0"/>
                    <w:autoSpaceDE/>
                    <w:autoSpaceDN/>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定制</w:t>
                  </w:r>
                </w:p>
              </w:tc>
              <w:tc>
                <w:tcPr>
                  <w:tcW w:w="589" w:type="pct"/>
                  <w:tcBorders>
                    <w:tl2br w:val="nil"/>
                    <w:tr2bl w:val="nil"/>
                  </w:tcBorders>
                  <w:shd w:val="clear" w:color="auto" w:fill="auto"/>
                  <w:noWrap w:val="0"/>
                  <w:vAlign w:val="center"/>
                </w:tcPr>
                <w:p w14:paraId="0C9C4774">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1间</w:t>
                  </w:r>
                </w:p>
              </w:tc>
              <w:tc>
                <w:tcPr>
                  <w:tcW w:w="770" w:type="pct"/>
                  <w:tcBorders>
                    <w:tl2br w:val="nil"/>
                    <w:tr2bl w:val="nil"/>
                  </w:tcBorders>
                  <w:shd w:val="clear" w:color="auto" w:fill="auto"/>
                  <w:noWrap w:val="0"/>
                  <w:vAlign w:val="center"/>
                </w:tcPr>
                <w:p w14:paraId="239888D0">
                  <w:pPr>
                    <w:keepNext w:val="0"/>
                    <w:keepLines w:val="0"/>
                    <w:pageBreakBefore w:val="0"/>
                    <w:widowControl w:val="0"/>
                    <w:kinsoku/>
                    <w:wordWrap/>
                    <w:overflowPunct/>
                    <w:topLinePunct w:val="0"/>
                    <w:autoSpaceDE/>
                    <w:autoSpaceDN/>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0间</w:t>
                  </w:r>
                </w:p>
              </w:tc>
              <w:tc>
                <w:tcPr>
                  <w:tcW w:w="756" w:type="pct"/>
                  <w:tcBorders>
                    <w:tl2br w:val="nil"/>
                    <w:tr2bl w:val="nil"/>
                  </w:tcBorders>
                  <w:noWrap w:val="0"/>
                  <w:vAlign w:val="center"/>
                </w:tcPr>
                <w:p w14:paraId="589B4F69">
                  <w:pPr>
                    <w:keepNext w:val="0"/>
                    <w:keepLines w:val="0"/>
                    <w:pageBreakBefore w:val="0"/>
                    <w:widowControl w:val="0"/>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1间</w:t>
                  </w:r>
                </w:p>
              </w:tc>
              <w:tc>
                <w:tcPr>
                  <w:tcW w:w="1218" w:type="pct"/>
                  <w:vMerge w:val="continue"/>
                  <w:tcBorders>
                    <w:tl2br w:val="nil"/>
                    <w:tr2bl w:val="nil"/>
                  </w:tcBorders>
                  <w:noWrap w:val="0"/>
                  <w:vAlign w:val="center"/>
                </w:tcPr>
                <w:p w14:paraId="0FB69AEF">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p>
              </w:tc>
            </w:tr>
            <w:tr w14:paraId="706F4A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734CCF64">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73651B86">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印刷机</w:t>
                  </w:r>
                </w:p>
              </w:tc>
              <w:tc>
                <w:tcPr>
                  <w:tcW w:w="589" w:type="pct"/>
                  <w:tcBorders>
                    <w:tl2br w:val="nil"/>
                    <w:tr2bl w:val="nil"/>
                  </w:tcBorders>
                  <w:noWrap w:val="0"/>
                  <w:vAlign w:val="center"/>
                </w:tcPr>
                <w:p w14:paraId="1E9CE4DD">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589" w:type="pct"/>
                  <w:tcBorders>
                    <w:tl2br w:val="nil"/>
                    <w:tr2bl w:val="nil"/>
                  </w:tcBorders>
                  <w:noWrap w:val="0"/>
                  <w:vAlign w:val="center"/>
                </w:tcPr>
                <w:p w14:paraId="36E1557E">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2台</w:t>
                  </w:r>
                </w:p>
              </w:tc>
              <w:tc>
                <w:tcPr>
                  <w:tcW w:w="770" w:type="pct"/>
                  <w:tcBorders>
                    <w:tl2br w:val="nil"/>
                    <w:tr2bl w:val="nil"/>
                  </w:tcBorders>
                  <w:shd w:val="clear" w:color="auto" w:fill="auto"/>
                  <w:noWrap w:val="0"/>
                  <w:vAlign w:val="center"/>
                </w:tcPr>
                <w:p w14:paraId="41F29984">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1台</w:t>
                  </w:r>
                </w:p>
              </w:tc>
              <w:tc>
                <w:tcPr>
                  <w:tcW w:w="756" w:type="pct"/>
                  <w:tcBorders>
                    <w:tl2br w:val="nil"/>
                    <w:tr2bl w:val="nil"/>
                  </w:tcBorders>
                  <w:noWrap w:val="0"/>
                  <w:vAlign w:val="center"/>
                </w:tcPr>
                <w:p w14:paraId="340969B9">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highlight w:val="none"/>
                      <w:lang w:val="en-US" w:eastAsia="zh-CN" w:bidi="ar-SA"/>
                    </w:rPr>
                    <w:t>1台</w:t>
                  </w:r>
                </w:p>
              </w:tc>
              <w:tc>
                <w:tcPr>
                  <w:tcW w:w="1218" w:type="pct"/>
                  <w:tcBorders>
                    <w:tl2br w:val="nil"/>
                    <w:tr2bl w:val="nil"/>
                  </w:tcBorders>
                  <w:noWrap w:val="0"/>
                  <w:vAlign w:val="center"/>
                </w:tcPr>
                <w:p w14:paraId="1F2B0BA8">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单台配备7个烘箱</w:t>
                  </w:r>
                </w:p>
              </w:tc>
            </w:tr>
            <w:tr w14:paraId="68DBDE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5800D7E3">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303A1459">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复卷机</w:t>
                  </w:r>
                </w:p>
              </w:tc>
              <w:tc>
                <w:tcPr>
                  <w:tcW w:w="589" w:type="pct"/>
                  <w:tcBorders>
                    <w:tl2br w:val="nil"/>
                    <w:tr2bl w:val="nil"/>
                  </w:tcBorders>
                  <w:noWrap w:val="0"/>
                  <w:vAlign w:val="center"/>
                </w:tcPr>
                <w:p w14:paraId="614D6A74">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589" w:type="pct"/>
                  <w:tcBorders>
                    <w:tl2br w:val="nil"/>
                    <w:tr2bl w:val="nil"/>
                  </w:tcBorders>
                  <w:noWrap w:val="0"/>
                  <w:vAlign w:val="center"/>
                </w:tcPr>
                <w:p w14:paraId="3A8F2DC6">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1台</w:t>
                  </w:r>
                </w:p>
              </w:tc>
              <w:tc>
                <w:tcPr>
                  <w:tcW w:w="770" w:type="pct"/>
                  <w:tcBorders>
                    <w:tl2br w:val="nil"/>
                    <w:tr2bl w:val="nil"/>
                  </w:tcBorders>
                  <w:shd w:val="clear" w:color="auto" w:fill="auto"/>
                  <w:noWrap w:val="0"/>
                  <w:vAlign w:val="center"/>
                </w:tcPr>
                <w:p w14:paraId="07C8B591">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1台</w:t>
                  </w:r>
                </w:p>
              </w:tc>
              <w:tc>
                <w:tcPr>
                  <w:tcW w:w="756" w:type="pct"/>
                  <w:tcBorders>
                    <w:tl2br w:val="nil"/>
                    <w:tr2bl w:val="nil"/>
                  </w:tcBorders>
                  <w:noWrap w:val="0"/>
                  <w:vAlign w:val="center"/>
                </w:tcPr>
                <w:p w14:paraId="3E9C2D62">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w:t>
                  </w:r>
                </w:p>
              </w:tc>
              <w:tc>
                <w:tcPr>
                  <w:tcW w:w="1218" w:type="pct"/>
                  <w:tcBorders>
                    <w:tl2br w:val="nil"/>
                    <w:tr2bl w:val="nil"/>
                  </w:tcBorders>
                  <w:noWrap w:val="0"/>
                  <w:vAlign w:val="center"/>
                </w:tcPr>
                <w:p w14:paraId="5FD8B1F2">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2F048A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324E5C39">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39A96278">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搅拌机</w:t>
                  </w:r>
                </w:p>
              </w:tc>
              <w:tc>
                <w:tcPr>
                  <w:tcW w:w="589" w:type="pct"/>
                  <w:tcBorders>
                    <w:tl2br w:val="nil"/>
                    <w:tr2bl w:val="nil"/>
                  </w:tcBorders>
                  <w:noWrap w:val="0"/>
                  <w:vAlign w:val="center"/>
                </w:tcPr>
                <w:p w14:paraId="175542B1">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589" w:type="pct"/>
                  <w:tcBorders>
                    <w:tl2br w:val="nil"/>
                    <w:tr2bl w:val="nil"/>
                  </w:tcBorders>
                  <w:noWrap w:val="0"/>
                  <w:vAlign w:val="center"/>
                </w:tcPr>
                <w:p w14:paraId="5373A034">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1</w:t>
                  </w:r>
                  <w:r>
                    <w:rPr>
                      <w:rFonts w:hint="eastAsia" w:ascii="Times New Roman" w:hAnsi="Times New Roman" w:eastAsia="宋体"/>
                      <w:color w:val="auto"/>
                      <w:sz w:val="21"/>
                      <w:szCs w:val="21"/>
                    </w:rPr>
                    <w:t>台</w:t>
                  </w:r>
                </w:p>
              </w:tc>
              <w:tc>
                <w:tcPr>
                  <w:tcW w:w="770" w:type="pct"/>
                  <w:tcBorders>
                    <w:tl2br w:val="nil"/>
                    <w:tr2bl w:val="nil"/>
                  </w:tcBorders>
                  <w:shd w:val="clear" w:color="auto" w:fill="auto"/>
                  <w:noWrap w:val="0"/>
                  <w:vAlign w:val="center"/>
                </w:tcPr>
                <w:p w14:paraId="6A1560E2">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1台</w:t>
                  </w:r>
                </w:p>
              </w:tc>
              <w:tc>
                <w:tcPr>
                  <w:tcW w:w="756" w:type="pct"/>
                  <w:tcBorders>
                    <w:tl2br w:val="nil"/>
                    <w:tr2bl w:val="nil"/>
                  </w:tcBorders>
                  <w:noWrap w:val="0"/>
                  <w:vAlign w:val="center"/>
                </w:tcPr>
                <w:p w14:paraId="04B1122D">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w:t>
                  </w:r>
                </w:p>
              </w:tc>
              <w:tc>
                <w:tcPr>
                  <w:tcW w:w="1218" w:type="pct"/>
                  <w:tcBorders>
                    <w:tl2br w:val="nil"/>
                    <w:tr2bl w:val="nil"/>
                  </w:tcBorders>
                  <w:noWrap w:val="0"/>
                  <w:vAlign w:val="center"/>
                </w:tcPr>
                <w:p w14:paraId="7CE14BF3">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4E7A6B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456B6F91">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6B1ACE96">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电晕机</w:t>
                  </w:r>
                </w:p>
              </w:tc>
              <w:tc>
                <w:tcPr>
                  <w:tcW w:w="589" w:type="pct"/>
                  <w:tcBorders>
                    <w:tl2br w:val="nil"/>
                    <w:tr2bl w:val="nil"/>
                  </w:tcBorders>
                  <w:noWrap w:val="0"/>
                  <w:vAlign w:val="center"/>
                </w:tcPr>
                <w:p w14:paraId="62C2D50C">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国内定制</w:t>
                  </w:r>
                </w:p>
              </w:tc>
              <w:tc>
                <w:tcPr>
                  <w:tcW w:w="589" w:type="pct"/>
                  <w:tcBorders>
                    <w:tl2br w:val="nil"/>
                    <w:tr2bl w:val="nil"/>
                  </w:tcBorders>
                  <w:noWrap w:val="0"/>
                  <w:vAlign w:val="center"/>
                </w:tcPr>
                <w:p w14:paraId="64BFCE30">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3</w:t>
                  </w:r>
                  <w:r>
                    <w:rPr>
                      <w:rFonts w:hint="eastAsia" w:ascii="Times New Roman" w:hAnsi="Times New Roman" w:eastAsia="宋体" w:cs="Times New Roman"/>
                      <w:color w:val="auto"/>
                      <w:kern w:val="2"/>
                      <w:sz w:val="21"/>
                      <w:szCs w:val="21"/>
                      <w:lang w:val="en-US" w:eastAsia="zh-CN" w:bidi="ar-SA"/>
                    </w:rPr>
                    <w:t>台</w:t>
                  </w:r>
                </w:p>
              </w:tc>
              <w:tc>
                <w:tcPr>
                  <w:tcW w:w="770" w:type="pct"/>
                  <w:tcBorders>
                    <w:tl2br w:val="nil"/>
                    <w:tr2bl w:val="nil"/>
                  </w:tcBorders>
                  <w:shd w:val="clear" w:color="auto" w:fill="auto"/>
                  <w:noWrap w:val="0"/>
                  <w:vAlign w:val="center"/>
                </w:tcPr>
                <w:p w14:paraId="774BE807">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2台</w:t>
                  </w:r>
                </w:p>
              </w:tc>
              <w:tc>
                <w:tcPr>
                  <w:tcW w:w="756" w:type="pct"/>
                  <w:tcBorders>
                    <w:tl2br w:val="nil"/>
                    <w:tr2bl w:val="nil"/>
                  </w:tcBorders>
                  <w:noWrap w:val="0"/>
                  <w:vAlign w:val="center"/>
                </w:tcPr>
                <w:p w14:paraId="5F9F7803">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highlight w:val="none"/>
                      <w:lang w:val="en-US" w:eastAsia="zh-CN" w:bidi="ar-SA"/>
                    </w:rPr>
                    <w:t>1台</w:t>
                  </w:r>
                </w:p>
              </w:tc>
              <w:tc>
                <w:tcPr>
                  <w:tcW w:w="1218" w:type="pct"/>
                  <w:tcBorders>
                    <w:tl2br w:val="nil"/>
                    <w:tr2bl w:val="nil"/>
                  </w:tcBorders>
                  <w:noWrap w:val="0"/>
                  <w:vAlign w:val="center"/>
                </w:tcPr>
                <w:p w14:paraId="780580E6">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r>
            <w:tr w14:paraId="07EE4E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restart"/>
                  <w:tcBorders>
                    <w:tl2br w:val="nil"/>
                    <w:tr2bl w:val="nil"/>
                  </w:tcBorders>
                  <w:noWrap w:val="0"/>
                  <w:vAlign w:val="center"/>
                </w:tcPr>
                <w:p w14:paraId="23E14D35">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4"/>
                      <w:lang w:val="en-US" w:eastAsia="zh-CN"/>
                    </w:rPr>
                    <w:t>2#生产车间</w:t>
                  </w:r>
                </w:p>
              </w:tc>
              <w:tc>
                <w:tcPr>
                  <w:tcW w:w="587" w:type="pct"/>
                  <w:tcBorders>
                    <w:tl2br w:val="nil"/>
                    <w:tr2bl w:val="nil"/>
                  </w:tcBorders>
                  <w:noWrap w:val="0"/>
                  <w:vAlign w:val="center"/>
                </w:tcPr>
                <w:p w14:paraId="533C1DB3">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涂布机</w:t>
                  </w:r>
                </w:p>
              </w:tc>
              <w:tc>
                <w:tcPr>
                  <w:tcW w:w="589" w:type="pct"/>
                  <w:tcBorders>
                    <w:tl2br w:val="nil"/>
                    <w:tr2bl w:val="nil"/>
                  </w:tcBorders>
                  <w:noWrap w:val="0"/>
                  <w:vAlign w:val="center"/>
                </w:tcPr>
                <w:p w14:paraId="4851938C">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YR-1300</w:t>
                  </w:r>
                </w:p>
              </w:tc>
              <w:tc>
                <w:tcPr>
                  <w:tcW w:w="589" w:type="pct"/>
                  <w:tcBorders>
                    <w:tl2br w:val="nil"/>
                    <w:tr2bl w:val="nil"/>
                  </w:tcBorders>
                  <w:noWrap w:val="0"/>
                  <w:vAlign w:val="center"/>
                </w:tcPr>
                <w:p w14:paraId="5883EC78">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rPr>
                    <w:t>3</w:t>
                  </w:r>
                  <w:r>
                    <w:rPr>
                      <w:rFonts w:hint="eastAsia" w:ascii="Times New Roman" w:hAnsi="Times New Roman" w:eastAsia="宋体"/>
                      <w:color w:val="auto"/>
                      <w:sz w:val="21"/>
                      <w:szCs w:val="21"/>
                    </w:rPr>
                    <w:t>台</w:t>
                  </w:r>
                </w:p>
              </w:tc>
              <w:tc>
                <w:tcPr>
                  <w:tcW w:w="770" w:type="pct"/>
                  <w:tcBorders>
                    <w:tl2br w:val="nil"/>
                    <w:tr2bl w:val="nil"/>
                  </w:tcBorders>
                  <w:shd w:val="clear" w:color="auto" w:fill="auto"/>
                  <w:noWrap w:val="0"/>
                  <w:vAlign w:val="center"/>
                </w:tcPr>
                <w:p w14:paraId="0F0BDA0A">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0台</w:t>
                  </w:r>
                </w:p>
              </w:tc>
              <w:tc>
                <w:tcPr>
                  <w:tcW w:w="756" w:type="pct"/>
                  <w:tcBorders>
                    <w:tl2br w:val="nil"/>
                    <w:tr2bl w:val="nil"/>
                  </w:tcBorders>
                  <w:noWrap w:val="0"/>
                  <w:vAlign w:val="center"/>
                </w:tcPr>
                <w:p w14:paraId="6FC7F801">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highlight w:val="none"/>
                      <w:lang w:val="en-US" w:eastAsia="zh-CN" w:bidi="ar-SA"/>
                    </w:rPr>
                    <w:t>3台</w:t>
                  </w:r>
                </w:p>
              </w:tc>
              <w:tc>
                <w:tcPr>
                  <w:tcW w:w="1218" w:type="pct"/>
                  <w:vMerge w:val="restart"/>
                  <w:tcBorders>
                    <w:tl2br w:val="nil"/>
                    <w:tr2bl w:val="nil"/>
                  </w:tcBorders>
                  <w:noWrap w:val="0"/>
                  <w:vAlign w:val="center"/>
                </w:tcPr>
                <w:p w14:paraId="0CE45F67">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lang w:val="en-US" w:eastAsia="zh-CN" w:bidi="ar-SA"/>
                    </w:rPr>
                    <w:t>现阶段一部分出租，用于承租</w:t>
                  </w:r>
                  <w:r>
                    <w:rPr>
                      <w:rFonts w:hint="eastAsia" w:ascii="Times New Roman" w:hAnsi="Times New Roman" w:eastAsia="宋体" w:cs="Times New Roman"/>
                      <w:color w:val="auto"/>
                      <w:sz w:val="21"/>
                      <w:szCs w:val="21"/>
                      <w:highlight w:val="none"/>
                      <w:lang w:val="en-US" w:eastAsia="zh-CN" w:bidi="ar-SA"/>
                    </w:rPr>
                    <w:t>方原材料</w:t>
                  </w:r>
                  <w:r>
                    <w:rPr>
                      <w:rFonts w:hint="default" w:ascii="Times New Roman" w:hAnsi="Times New Roman" w:eastAsia="宋体" w:cs="Times New Roman"/>
                      <w:color w:val="auto"/>
                      <w:sz w:val="21"/>
                      <w:szCs w:val="21"/>
                      <w:highlight w:val="none"/>
                      <w:lang w:val="en-US" w:eastAsia="zh-CN" w:bidi="ar-SA"/>
                    </w:rPr>
                    <w:t>、产成品仓储；一部分作为原料仓库和危废</w:t>
                  </w:r>
                  <w:r>
                    <w:rPr>
                      <w:rFonts w:hint="eastAsia" w:ascii="Times New Roman" w:hAnsi="Times New Roman" w:eastAsia="宋体" w:cs="Times New Roman"/>
                      <w:color w:val="auto"/>
                      <w:sz w:val="21"/>
                      <w:szCs w:val="21"/>
                      <w:highlight w:val="none"/>
                      <w:lang w:val="en-US" w:eastAsia="zh-CN" w:bidi="ar-SA"/>
                    </w:rPr>
                    <w:t>暂存</w:t>
                  </w:r>
                  <w:r>
                    <w:rPr>
                      <w:rFonts w:hint="default" w:ascii="Times New Roman" w:hAnsi="Times New Roman" w:eastAsia="宋体" w:cs="Times New Roman"/>
                      <w:color w:val="auto"/>
                      <w:sz w:val="21"/>
                      <w:szCs w:val="21"/>
                      <w:highlight w:val="none"/>
                      <w:lang w:val="en-US" w:eastAsia="zh-CN" w:bidi="ar-SA"/>
                    </w:rPr>
                    <w:t>间自用</w:t>
                  </w:r>
                  <w:r>
                    <w:rPr>
                      <w:rFonts w:hint="eastAsia" w:ascii="Times New Roman" w:hAnsi="Times New Roman" w:eastAsia="宋体" w:cs="Times New Roman"/>
                      <w:color w:val="auto"/>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设备均未购置</w:t>
                  </w:r>
                </w:p>
              </w:tc>
            </w:tr>
            <w:tr w14:paraId="1704FB0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47A10573">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7C76E992">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网纹辊</w:t>
                  </w:r>
                </w:p>
              </w:tc>
              <w:tc>
                <w:tcPr>
                  <w:tcW w:w="589" w:type="pct"/>
                  <w:tcBorders>
                    <w:tl2br w:val="nil"/>
                    <w:tr2bl w:val="nil"/>
                  </w:tcBorders>
                  <w:noWrap w:val="0"/>
                  <w:vAlign w:val="center"/>
                </w:tcPr>
                <w:p w14:paraId="12206A8A">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589" w:type="pct"/>
                  <w:tcBorders>
                    <w:tl2br w:val="nil"/>
                    <w:tr2bl w:val="nil"/>
                  </w:tcBorders>
                  <w:noWrap w:val="0"/>
                  <w:vAlign w:val="center"/>
                </w:tcPr>
                <w:p w14:paraId="3A3F4FB1">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条</w:t>
                  </w:r>
                </w:p>
              </w:tc>
              <w:tc>
                <w:tcPr>
                  <w:tcW w:w="770" w:type="pct"/>
                  <w:tcBorders>
                    <w:tl2br w:val="nil"/>
                    <w:tr2bl w:val="nil"/>
                  </w:tcBorders>
                  <w:shd w:val="clear" w:color="auto" w:fill="auto"/>
                  <w:noWrap w:val="0"/>
                  <w:vAlign w:val="center"/>
                </w:tcPr>
                <w:p w14:paraId="48DE1ECE">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0条</w:t>
                  </w:r>
                </w:p>
              </w:tc>
              <w:tc>
                <w:tcPr>
                  <w:tcW w:w="756" w:type="pct"/>
                  <w:tcBorders>
                    <w:tl2br w:val="nil"/>
                    <w:tr2bl w:val="nil"/>
                  </w:tcBorders>
                  <w:noWrap w:val="0"/>
                  <w:vAlign w:val="center"/>
                </w:tcPr>
                <w:p w14:paraId="35A671F2">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条</w:t>
                  </w:r>
                </w:p>
              </w:tc>
              <w:tc>
                <w:tcPr>
                  <w:tcW w:w="1218" w:type="pct"/>
                  <w:vMerge w:val="continue"/>
                  <w:tcBorders>
                    <w:tl2br w:val="nil"/>
                    <w:tr2bl w:val="nil"/>
                  </w:tcBorders>
                  <w:noWrap w:val="0"/>
                  <w:vAlign w:val="center"/>
                </w:tcPr>
                <w:p w14:paraId="62C36522">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p>
              </w:tc>
            </w:tr>
            <w:tr w14:paraId="62DE957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135C7413">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410241D7">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分切机</w:t>
                  </w:r>
                </w:p>
              </w:tc>
              <w:tc>
                <w:tcPr>
                  <w:tcW w:w="589" w:type="pct"/>
                  <w:tcBorders>
                    <w:tl2br w:val="nil"/>
                    <w:tr2bl w:val="nil"/>
                  </w:tcBorders>
                  <w:noWrap w:val="0"/>
                  <w:vAlign w:val="center"/>
                </w:tcPr>
                <w:p w14:paraId="7C951F55">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YT-2500</w:t>
                  </w:r>
                </w:p>
              </w:tc>
              <w:tc>
                <w:tcPr>
                  <w:tcW w:w="589" w:type="pct"/>
                  <w:tcBorders>
                    <w:tl2br w:val="nil"/>
                    <w:tr2bl w:val="nil"/>
                  </w:tcBorders>
                  <w:noWrap w:val="0"/>
                  <w:vAlign w:val="center"/>
                </w:tcPr>
                <w:p w14:paraId="4E595751">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3</w:t>
                  </w:r>
                  <w:r>
                    <w:rPr>
                      <w:rFonts w:hint="eastAsia" w:ascii="Times New Roman" w:hAnsi="Times New Roman" w:eastAsia="宋体"/>
                      <w:color w:val="auto"/>
                      <w:sz w:val="21"/>
                      <w:szCs w:val="21"/>
                    </w:rPr>
                    <w:t>台</w:t>
                  </w:r>
                </w:p>
              </w:tc>
              <w:tc>
                <w:tcPr>
                  <w:tcW w:w="770" w:type="pct"/>
                  <w:tcBorders>
                    <w:tl2br w:val="nil"/>
                    <w:tr2bl w:val="nil"/>
                  </w:tcBorders>
                  <w:shd w:val="clear" w:color="auto" w:fill="auto"/>
                  <w:noWrap w:val="0"/>
                  <w:vAlign w:val="center"/>
                </w:tcPr>
                <w:p w14:paraId="11193D97">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0台</w:t>
                  </w:r>
                </w:p>
              </w:tc>
              <w:tc>
                <w:tcPr>
                  <w:tcW w:w="1366" w:type="dxa"/>
                  <w:tcBorders>
                    <w:tl2br w:val="nil"/>
                    <w:tr2bl w:val="nil"/>
                  </w:tcBorders>
                  <w:noWrap w:val="0"/>
                  <w:vAlign w:val="center"/>
                </w:tcPr>
                <w:p w14:paraId="4DAC8D97">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3</w:t>
                  </w:r>
                  <w:r>
                    <w:rPr>
                      <w:rFonts w:hint="eastAsia" w:ascii="Times New Roman" w:hAnsi="Times New Roman" w:eastAsia="宋体"/>
                      <w:color w:val="auto"/>
                      <w:sz w:val="21"/>
                      <w:szCs w:val="21"/>
                    </w:rPr>
                    <w:t>台</w:t>
                  </w:r>
                </w:p>
              </w:tc>
              <w:tc>
                <w:tcPr>
                  <w:tcW w:w="1218" w:type="pct"/>
                  <w:vMerge w:val="continue"/>
                  <w:tcBorders>
                    <w:tl2br w:val="nil"/>
                    <w:tr2bl w:val="nil"/>
                  </w:tcBorders>
                  <w:noWrap w:val="0"/>
                  <w:vAlign w:val="center"/>
                </w:tcPr>
                <w:p w14:paraId="1C48ACED">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p>
              </w:tc>
            </w:tr>
            <w:tr w14:paraId="6EBEFE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40A19FEB">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21E6A64A">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电热风炉</w:t>
                  </w:r>
                </w:p>
              </w:tc>
              <w:tc>
                <w:tcPr>
                  <w:tcW w:w="589" w:type="pct"/>
                  <w:tcBorders>
                    <w:tl2br w:val="nil"/>
                    <w:tr2bl w:val="nil"/>
                  </w:tcBorders>
                  <w:noWrap w:val="0"/>
                  <w:vAlign w:val="center"/>
                </w:tcPr>
                <w:p w14:paraId="264BFA2C">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589" w:type="pct"/>
                  <w:tcBorders>
                    <w:tl2br w:val="nil"/>
                    <w:tr2bl w:val="nil"/>
                  </w:tcBorders>
                  <w:noWrap w:val="0"/>
                  <w:vAlign w:val="center"/>
                </w:tcPr>
                <w:p w14:paraId="02AB59A2">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台</w:t>
                  </w:r>
                </w:p>
              </w:tc>
              <w:tc>
                <w:tcPr>
                  <w:tcW w:w="770" w:type="pct"/>
                  <w:tcBorders>
                    <w:tl2br w:val="nil"/>
                    <w:tr2bl w:val="nil"/>
                  </w:tcBorders>
                  <w:shd w:val="clear" w:color="auto" w:fill="auto"/>
                  <w:noWrap w:val="0"/>
                  <w:vAlign w:val="center"/>
                </w:tcPr>
                <w:p w14:paraId="182C03F8">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0台</w:t>
                  </w:r>
                </w:p>
              </w:tc>
              <w:tc>
                <w:tcPr>
                  <w:tcW w:w="1366" w:type="dxa"/>
                  <w:tcBorders>
                    <w:tl2br w:val="nil"/>
                    <w:tr2bl w:val="nil"/>
                  </w:tcBorders>
                  <w:noWrap w:val="0"/>
                  <w:vAlign w:val="center"/>
                </w:tcPr>
                <w:p w14:paraId="16C27858">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w:t>
                  </w:r>
                  <w:r>
                    <w:rPr>
                      <w:rFonts w:hint="eastAsia" w:ascii="Times New Roman" w:hAnsi="Times New Roman" w:eastAsia="宋体" w:cs="Times New Roman"/>
                      <w:color w:val="auto"/>
                      <w:sz w:val="21"/>
                      <w:szCs w:val="21"/>
                      <w:lang w:val="en-US" w:eastAsia="zh-CN"/>
                    </w:rPr>
                    <w:t>台</w:t>
                  </w:r>
                </w:p>
              </w:tc>
              <w:tc>
                <w:tcPr>
                  <w:tcW w:w="1218" w:type="pct"/>
                  <w:vMerge w:val="continue"/>
                  <w:tcBorders>
                    <w:tl2br w:val="nil"/>
                    <w:tr2bl w:val="nil"/>
                  </w:tcBorders>
                  <w:noWrap w:val="0"/>
                  <w:vAlign w:val="center"/>
                </w:tcPr>
                <w:p w14:paraId="366C115F">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p>
              </w:tc>
            </w:tr>
            <w:tr w14:paraId="0703B4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7A08017C">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300FA462">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印刷机</w:t>
                  </w:r>
                </w:p>
              </w:tc>
              <w:tc>
                <w:tcPr>
                  <w:tcW w:w="589" w:type="pct"/>
                  <w:tcBorders>
                    <w:tl2br w:val="nil"/>
                    <w:tr2bl w:val="nil"/>
                  </w:tcBorders>
                  <w:noWrap w:val="0"/>
                  <w:vAlign w:val="center"/>
                </w:tcPr>
                <w:p w14:paraId="0CCB90B9">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589" w:type="pct"/>
                  <w:tcBorders>
                    <w:tl2br w:val="nil"/>
                    <w:tr2bl w:val="nil"/>
                  </w:tcBorders>
                  <w:noWrap w:val="0"/>
                  <w:vAlign w:val="center"/>
                </w:tcPr>
                <w:p w14:paraId="28D0175C">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2台</w:t>
                  </w:r>
                </w:p>
              </w:tc>
              <w:tc>
                <w:tcPr>
                  <w:tcW w:w="770" w:type="pct"/>
                  <w:tcBorders>
                    <w:tl2br w:val="nil"/>
                    <w:tr2bl w:val="nil"/>
                  </w:tcBorders>
                  <w:shd w:val="clear" w:color="auto" w:fill="auto"/>
                  <w:noWrap w:val="0"/>
                  <w:vAlign w:val="center"/>
                </w:tcPr>
                <w:p w14:paraId="17B3F7D8">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0台</w:t>
                  </w:r>
                </w:p>
              </w:tc>
              <w:tc>
                <w:tcPr>
                  <w:tcW w:w="1366" w:type="dxa"/>
                  <w:tcBorders>
                    <w:tl2br w:val="nil"/>
                    <w:tr2bl w:val="nil"/>
                  </w:tcBorders>
                  <w:noWrap w:val="0"/>
                  <w:vAlign w:val="center"/>
                </w:tcPr>
                <w:p w14:paraId="6135C749">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2台</w:t>
                  </w:r>
                </w:p>
              </w:tc>
              <w:tc>
                <w:tcPr>
                  <w:tcW w:w="1218" w:type="pct"/>
                  <w:vMerge w:val="continue"/>
                  <w:tcBorders>
                    <w:tl2br w:val="nil"/>
                    <w:tr2bl w:val="nil"/>
                  </w:tcBorders>
                  <w:noWrap w:val="0"/>
                  <w:vAlign w:val="center"/>
                </w:tcPr>
                <w:p w14:paraId="740E341C">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p>
              </w:tc>
            </w:tr>
            <w:tr w14:paraId="306A3B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22B6B1D9">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7D8DFA21">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复卷机</w:t>
                  </w:r>
                </w:p>
              </w:tc>
              <w:tc>
                <w:tcPr>
                  <w:tcW w:w="589" w:type="pct"/>
                  <w:tcBorders>
                    <w:tl2br w:val="nil"/>
                    <w:tr2bl w:val="nil"/>
                  </w:tcBorders>
                  <w:noWrap w:val="0"/>
                  <w:vAlign w:val="center"/>
                </w:tcPr>
                <w:p w14:paraId="029A5E4C">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589" w:type="pct"/>
                  <w:tcBorders>
                    <w:tl2br w:val="nil"/>
                    <w:tr2bl w:val="nil"/>
                  </w:tcBorders>
                  <w:noWrap w:val="0"/>
                  <w:vAlign w:val="center"/>
                </w:tcPr>
                <w:p w14:paraId="408C789A">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1台</w:t>
                  </w:r>
                </w:p>
              </w:tc>
              <w:tc>
                <w:tcPr>
                  <w:tcW w:w="770" w:type="pct"/>
                  <w:tcBorders>
                    <w:tl2br w:val="nil"/>
                    <w:tr2bl w:val="nil"/>
                  </w:tcBorders>
                  <w:shd w:val="clear" w:color="auto" w:fill="auto"/>
                  <w:noWrap w:val="0"/>
                  <w:vAlign w:val="center"/>
                </w:tcPr>
                <w:p w14:paraId="0883633F">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0台</w:t>
                  </w:r>
                </w:p>
              </w:tc>
              <w:tc>
                <w:tcPr>
                  <w:tcW w:w="1366" w:type="dxa"/>
                  <w:tcBorders>
                    <w:tl2br w:val="nil"/>
                    <w:tr2bl w:val="nil"/>
                  </w:tcBorders>
                  <w:noWrap w:val="0"/>
                  <w:vAlign w:val="center"/>
                </w:tcPr>
                <w:p w14:paraId="6E858F7D">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1台</w:t>
                  </w:r>
                </w:p>
              </w:tc>
              <w:tc>
                <w:tcPr>
                  <w:tcW w:w="1218" w:type="pct"/>
                  <w:vMerge w:val="continue"/>
                  <w:tcBorders>
                    <w:tl2br w:val="nil"/>
                    <w:tr2bl w:val="nil"/>
                  </w:tcBorders>
                  <w:noWrap w:val="0"/>
                  <w:vAlign w:val="center"/>
                </w:tcPr>
                <w:p w14:paraId="60DC3A27">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p>
              </w:tc>
            </w:tr>
            <w:tr w14:paraId="503AAA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0C3C9612">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6A76F267">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搅拌机</w:t>
                  </w:r>
                </w:p>
              </w:tc>
              <w:tc>
                <w:tcPr>
                  <w:tcW w:w="589" w:type="pct"/>
                  <w:tcBorders>
                    <w:tl2br w:val="nil"/>
                    <w:tr2bl w:val="nil"/>
                  </w:tcBorders>
                  <w:noWrap w:val="0"/>
                  <w:vAlign w:val="center"/>
                </w:tcPr>
                <w:p w14:paraId="75259A58">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w:t>
                  </w:r>
                </w:p>
              </w:tc>
              <w:tc>
                <w:tcPr>
                  <w:tcW w:w="589" w:type="pct"/>
                  <w:tcBorders>
                    <w:tl2br w:val="nil"/>
                    <w:tr2bl w:val="nil"/>
                  </w:tcBorders>
                  <w:noWrap w:val="0"/>
                  <w:vAlign w:val="center"/>
                </w:tcPr>
                <w:p w14:paraId="2AD85453">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1台</w:t>
                  </w:r>
                </w:p>
              </w:tc>
              <w:tc>
                <w:tcPr>
                  <w:tcW w:w="770" w:type="pct"/>
                  <w:tcBorders>
                    <w:tl2br w:val="nil"/>
                    <w:tr2bl w:val="nil"/>
                  </w:tcBorders>
                  <w:shd w:val="clear" w:color="auto" w:fill="auto"/>
                  <w:noWrap w:val="0"/>
                  <w:vAlign w:val="center"/>
                </w:tcPr>
                <w:p w14:paraId="264BAECD">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0台</w:t>
                  </w:r>
                </w:p>
              </w:tc>
              <w:tc>
                <w:tcPr>
                  <w:tcW w:w="1366" w:type="dxa"/>
                  <w:tcBorders>
                    <w:tl2br w:val="nil"/>
                    <w:tr2bl w:val="nil"/>
                  </w:tcBorders>
                  <w:noWrap w:val="0"/>
                  <w:vAlign w:val="center"/>
                </w:tcPr>
                <w:p w14:paraId="3CB84FD7">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1台</w:t>
                  </w:r>
                </w:p>
              </w:tc>
              <w:tc>
                <w:tcPr>
                  <w:tcW w:w="1218" w:type="pct"/>
                  <w:vMerge w:val="continue"/>
                  <w:tcBorders>
                    <w:tl2br w:val="nil"/>
                    <w:tr2bl w:val="nil"/>
                  </w:tcBorders>
                  <w:noWrap w:val="0"/>
                  <w:vAlign w:val="center"/>
                </w:tcPr>
                <w:p w14:paraId="07FADA53">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p>
              </w:tc>
            </w:tr>
            <w:tr w14:paraId="3090BD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22B79254">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604C3722">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电晕机</w:t>
                  </w:r>
                </w:p>
              </w:tc>
              <w:tc>
                <w:tcPr>
                  <w:tcW w:w="589" w:type="pct"/>
                  <w:tcBorders>
                    <w:tl2br w:val="nil"/>
                    <w:tr2bl w:val="nil"/>
                  </w:tcBorders>
                  <w:noWrap w:val="0"/>
                  <w:vAlign w:val="center"/>
                </w:tcPr>
                <w:p w14:paraId="47F02237">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国内定制</w:t>
                  </w:r>
                </w:p>
              </w:tc>
              <w:tc>
                <w:tcPr>
                  <w:tcW w:w="589" w:type="pct"/>
                  <w:tcBorders>
                    <w:tl2br w:val="nil"/>
                    <w:tr2bl w:val="nil"/>
                  </w:tcBorders>
                  <w:noWrap w:val="0"/>
                  <w:vAlign w:val="center"/>
                </w:tcPr>
                <w:p w14:paraId="2E1ADCFA">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3</w:t>
                  </w:r>
                  <w:r>
                    <w:rPr>
                      <w:rFonts w:hint="eastAsia" w:ascii="Times New Roman" w:hAnsi="Times New Roman" w:eastAsia="宋体"/>
                      <w:color w:val="auto"/>
                      <w:sz w:val="21"/>
                      <w:szCs w:val="21"/>
                    </w:rPr>
                    <w:t>台</w:t>
                  </w:r>
                </w:p>
              </w:tc>
              <w:tc>
                <w:tcPr>
                  <w:tcW w:w="770" w:type="pct"/>
                  <w:tcBorders>
                    <w:tl2br w:val="nil"/>
                    <w:tr2bl w:val="nil"/>
                  </w:tcBorders>
                  <w:shd w:val="clear" w:color="auto" w:fill="auto"/>
                  <w:noWrap w:val="0"/>
                  <w:vAlign w:val="center"/>
                </w:tcPr>
                <w:p w14:paraId="25ED4CEA">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0台</w:t>
                  </w:r>
                </w:p>
              </w:tc>
              <w:tc>
                <w:tcPr>
                  <w:tcW w:w="1366" w:type="dxa"/>
                  <w:tcBorders>
                    <w:tl2br w:val="nil"/>
                    <w:tr2bl w:val="nil"/>
                  </w:tcBorders>
                  <w:noWrap w:val="0"/>
                  <w:vAlign w:val="center"/>
                </w:tcPr>
                <w:p w14:paraId="4141D916">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olor w:val="auto"/>
                      <w:sz w:val="21"/>
                      <w:szCs w:val="21"/>
                      <w:lang w:val="en-US" w:eastAsia="zh-CN"/>
                    </w:rPr>
                    <w:t>3</w:t>
                  </w:r>
                  <w:r>
                    <w:rPr>
                      <w:rFonts w:hint="eastAsia" w:ascii="Times New Roman" w:hAnsi="Times New Roman" w:eastAsia="宋体"/>
                      <w:color w:val="auto"/>
                      <w:sz w:val="21"/>
                      <w:szCs w:val="21"/>
                    </w:rPr>
                    <w:t>台</w:t>
                  </w:r>
                </w:p>
              </w:tc>
              <w:tc>
                <w:tcPr>
                  <w:tcW w:w="1218" w:type="pct"/>
                  <w:vMerge w:val="continue"/>
                  <w:tcBorders>
                    <w:tl2br w:val="nil"/>
                    <w:tr2bl w:val="nil"/>
                  </w:tcBorders>
                  <w:noWrap w:val="0"/>
                  <w:vAlign w:val="center"/>
                </w:tcPr>
                <w:p w14:paraId="7FBA5B4C">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p>
              </w:tc>
            </w:tr>
            <w:tr w14:paraId="2429203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88" w:type="pct"/>
                  <w:vMerge w:val="continue"/>
                  <w:tcBorders>
                    <w:tl2br w:val="nil"/>
                    <w:tr2bl w:val="nil"/>
                  </w:tcBorders>
                  <w:noWrap w:val="0"/>
                  <w:vAlign w:val="center"/>
                </w:tcPr>
                <w:p w14:paraId="400F28B2">
                  <w:pPr>
                    <w:keepNext w:val="0"/>
                    <w:keepLines w:val="0"/>
                    <w:pageBreakBefore w:val="0"/>
                    <w:widowControl w:val="0"/>
                    <w:kinsoku/>
                    <w:wordWrap/>
                    <w:overflowPunct/>
                    <w:topLinePunct w:val="0"/>
                    <w:autoSpaceDE w:val="0"/>
                    <w:autoSpaceDN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p>
              </w:tc>
              <w:tc>
                <w:tcPr>
                  <w:tcW w:w="587" w:type="pct"/>
                  <w:tcBorders>
                    <w:tl2br w:val="nil"/>
                    <w:tr2bl w:val="nil"/>
                  </w:tcBorders>
                  <w:noWrap w:val="0"/>
                  <w:vAlign w:val="center"/>
                </w:tcPr>
                <w:p w14:paraId="6AFA6BEA">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烘房</w:t>
                  </w:r>
                </w:p>
              </w:tc>
              <w:tc>
                <w:tcPr>
                  <w:tcW w:w="589" w:type="pct"/>
                  <w:tcBorders>
                    <w:tl2br w:val="nil"/>
                    <w:tr2bl w:val="nil"/>
                  </w:tcBorders>
                  <w:noWrap w:val="0"/>
                  <w:vAlign w:val="center"/>
                </w:tcPr>
                <w:p w14:paraId="7A017291">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定制</w:t>
                  </w:r>
                </w:p>
              </w:tc>
              <w:tc>
                <w:tcPr>
                  <w:tcW w:w="589" w:type="pct"/>
                  <w:tcBorders>
                    <w:tl2br w:val="nil"/>
                    <w:tr2bl w:val="nil"/>
                  </w:tcBorders>
                  <w:noWrap w:val="0"/>
                  <w:vAlign w:val="center"/>
                </w:tcPr>
                <w:p w14:paraId="3165503F">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eastAsia="zh-CN"/>
                    </w:rPr>
                    <w:t>1</w:t>
                  </w:r>
                  <w:r>
                    <w:rPr>
                      <w:rFonts w:hint="eastAsia" w:ascii="Times New Roman" w:hAnsi="Times New Roman" w:eastAsia="宋体"/>
                      <w:color w:val="auto"/>
                      <w:sz w:val="21"/>
                      <w:szCs w:val="21"/>
                      <w:lang w:val="en-US" w:eastAsia="zh-CN"/>
                    </w:rPr>
                    <w:t>间</w:t>
                  </w:r>
                </w:p>
              </w:tc>
              <w:tc>
                <w:tcPr>
                  <w:tcW w:w="770" w:type="pct"/>
                  <w:tcBorders>
                    <w:tl2br w:val="nil"/>
                    <w:tr2bl w:val="nil"/>
                  </w:tcBorders>
                  <w:shd w:val="clear" w:color="auto" w:fill="auto"/>
                  <w:noWrap w:val="0"/>
                  <w:vAlign w:val="center"/>
                </w:tcPr>
                <w:p w14:paraId="714D234B">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0间</w:t>
                  </w:r>
                </w:p>
              </w:tc>
              <w:tc>
                <w:tcPr>
                  <w:tcW w:w="1366" w:type="dxa"/>
                  <w:tcBorders>
                    <w:tl2br w:val="nil"/>
                    <w:tr2bl w:val="nil"/>
                  </w:tcBorders>
                  <w:noWrap w:val="0"/>
                  <w:vAlign w:val="center"/>
                </w:tcPr>
                <w:p w14:paraId="22AD4171">
                  <w:pPr>
                    <w:pStyle w:val="52"/>
                    <w:keepNext w:val="0"/>
                    <w:keepLines w:val="0"/>
                    <w:pageBreakBefore w:val="0"/>
                    <w:widowControl/>
                    <w:kinsoku/>
                    <w:wordWrap/>
                    <w:overflowPunct/>
                    <w:topLinePunct w:val="0"/>
                    <w:bidi w:val="0"/>
                    <w:adjustRightInd w:val="0"/>
                    <w:snapToGrid w:val="0"/>
                    <w:spacing w:after="0" w:afterLines="0"/>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olor w:val="auto"/>
                      <w:sz w:val="21"/>
                      <w:szCs w:val="21"/>
                      <w:lang w:val="en-US" w:eastAsia="zh-CN"/>
                    </w:rPr>
                    <w:t>1</w:t>
                  </w:r>
                  <w:r>
                    <w:rPr>
                      <w:rFonts w:hint="eastAsia" w:ascii="Times New Roman" w:hAnsi="Times New Roman" w:eastAsia="宋体"/>
                      <w:color w:val="auto"/>
                      <w:sz w:val="21"/>
                      <w:szCs w:val="21"/>
                      <w:lang w:val="en-US" w:eastAsia="zh-CN"/>
                    </w:rPr>
                    <w:t>间</w:t>
                  </w:r>
                </w:p>
              </w:tc>
              <w:tc>
                <w:tcPr>
                  <w:tcW w:w="1218" w:type="pct"/>
                  <w:vMerge w:val="continue"/>
                  <w:tcBorders>
                    <w:tl2br w:val="nil"/>
                    <w:tr2bl w:val="nil"/>
                  </w:tcBorders>
                  <w:noWrap w:val="0"/>
                  <w:vAlign w:val="center"/>
                </w:tcPr>
                <w:p w14:paraId="33797209">
                  <w:pPr>
                    <w:keepNext w:val="0"/>
                    <w:keepLines w:val="0"/>
                    <w:pageBreakBefore w:val="0"/>
                    <w:widowControl w:val="0"/>
                    <w:kinsoku/>
                    <w:wordWrap/>
                    <w:overflowPunct/>
                    <w:topLinePunct w:val="0"/>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p>
              </w:tc>
            </w:tr>
          </w:tbl>
          <w:p w14:paraId="6B1D00A8">
            <w:pPr>
              <w:spacing w:line="360" w:lineRule="exact"/>
              <w:rPr>
                <w:rFonts w:ascii="宋体" w:hAnsi="宋体" w:eastAsia="宋体"/>
                <w:color w:val="FF0000"/>
                <w:sz w:val="21"/>
                <w:szCs w:val="21"/>
              </w:rPr>
            </w:pPr>
          </w:p>
        </w:tc>
      </w:tr>
      <w:tr w14:paraId="7583B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5" w:hRule="atLeast"/>
          <w:jc w:val="center"/>
        </w:trPr>
        <w:tc>
          <w:tcPr>
            <w:tcW w:w="9246" w:type="dxa"/>
            <w:noWrap w:val="0"/>
            <w:vAlign w:val="top"/>
          </w:tcPr>
          <w:p w14:paraId="3E3F22A6">
            <w:pPr>
              <w:keepNext w:val="0"/>
              <w:keepLines w:val="0"/>
              <w:pageBreakBefore w:val="0"/>
              <w:widowControl/>
              <w:kinsoku/>
              <w:wordWrap/>
              <w:overflowPunct/>
              <w:topLinePunct w:val="0"/>
              <w:autoSpaceDE/>
              <w:autoSpaceDN/>
              <w:bidi w:val="0"/>
              <w:adjustRightInd w:val="0"/>
              <w:snapToGrid w:val="0"/>
              <w:spacing w:before="181" w:beforeLines="50" w:after="0" w:line="360" w:lineRule="auto"/>
              <w:ind w:firstLine="482" w:firstLineChars="200"/>
              <w:jc w:val="both"/>
              <w:textAlignment w:val="auto"/>
              <w:rPr>
                <w:rFonts w:hint="eastAsia" w:ascii="Times New Roman" w:hAnsi="Times New Roman" w:cs="Times New Roman" w:eastAsiaTheme="minorEastAsia"/>
                <w:b/>
                <w:bCs/>
                <w:color w:val="auto"/>
                <w:sz w:val="24"/>
                <w:szCs w:val="24"/>
                <w:lang w:val="en-US" w:eastAsia="zh-CN" w:bidi="ar-SA"/>
              </w:rPr>
            </w:pPr>
            <w:r>
              <w:rPr>
                <w:rFonts w:hint="eastAsia" w:ascii="Times New Roman" w:hAnsi="Times New Roman" w:cs="Times New Roman" w:eastAsiaTheme="minorEastAsia"/>
                <w:b/>
                <w:bCs/>
                <w:color w:val="auto"/>
                <w:sz w:val="24"/>
                <w:szCs w:val="24"/>
                <w:lang w:val="en-US" w:eastAsia="zh-CN" w:bidi="ar-SA"/>
              </w:rPr>
              <w:t>2.2原辅材料消耗及水平衡</w:t>
            </w:r>
          </w:p>
          <w:p w14:paraId="02F0C825">
            <w:pPr>
              <w:pStyle w:val="33"/>
              <w:keepNext w:val="0"/>
              <w:keepLines w:val="0"/>
              <w:pageBreakBefore w:val="0"/>
              <w:kinsoku/>
              <w:wordWrap/>
              <w:overflowPunct/>
              <w:topLinePunct w:val="0"/>
              <w:autoSpaceDE/>
              <w:autoSpaceDN/>
              <w:bidi w:val="0"/>
              <w:adjustRightInd w:val="0"/>
              <w:spacing w:line="360" w:lineRule="auto"/>
              <w:ind w:firstLine="480" w:firstLineChars="200"/>
              <w:jc w:val="both"/>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2.2.1主要原辅材料消耗及水平衡</w:t>
            </w:r>
          </w:p>
          <w:p w14:paraId="37EFDFC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cs="Times New Roman" w:eastAsiaTheme="minorEastAsia"/>
                <w:b/>
                <w:bCs/>
                <w:color w:val="auto"/>
                <w:sz w:val="21"/>
                <w:szCs w:val="21"/>
                <w:lang w:val="en-US" w:eastAsia="zh-CN" w:bidi="ar-SA"/>
              </w:rPr>
            </w:pPr>
            <w:r>
              <w:rPr>
                <w:rFonts w:hint="eastAsia" w:ascii="Times New Roman" w:hAnsi="Times New Roman" w:cs="Times New Roman" w:eastAsiaTheme="minorEastAsia"/>
                <w:b/>
                <w:bCs/>
                <w:color w:val="auto"/>
                <w:sz w:val="21"/>
                <w:szCs w:val="21"/>
                <w:lang w:val="en-US" w:eastAsia="zh-CN" w:bidi="ar-SA"/>
              </w:rPr>
              <w:t xml:space="preserve">表2-4 </w:t>
            </w:r>
            <w:r>
              <w:rPr>
                <w:rFonts w:hint="default" w:ascii="Times New Roman" w:hAnsi="Times New Roman" w:cs="Times New Roman" w:eastAsiaTheme="minorEastAsia"/>
                <w:b/>
                <w:bCs/>
                <w:color w:val="auto"/>
                <w:sz w:val="21"/>
                <w:szCs w:val="21"/>
                <w:lang w:val="en-US" w:eastAsia="zh-CN" w:bidi="ar-SA"/>
              </w:rPr>
              <w:t>项目</w:t>
            </w:r>
            <w:r>
              <w:rPr>
                <w:rFonts w:hint="eastAsia" w:ascii="Times New Roman" w:hAnsi="Times New Roman" w:cs="Times New Roman" w:eastAsiaTheme="minorEastAsia"/>
                <w:b/>
                <w:bCs/>
                <w:color w:val="auto"/>
                <w:sz w:val="21"/>
                <w:szCs w:val="21"/>
                <w:lang w:val="en-US" w:eastAsia="zh-CN" w:bidi="ar-SA"/>
              </w:rPr>
              <w:t>（现阶段）</w:t>
            </w:r>
            <w:r>
              <w:rPr>
                <w:rFonts w:hint="default" w:ascii="Times New Roman" w:hAnsi="Times New Roman" w:cs="Times New Roman" w:eastAsiaTheme="minorEastAsia"/>
                <w:b/>
                <w:bCs/>
                <w:color w:val="auto"/>
                <w:sz w:val="21"/>
                <w:szCs w:val="21"/>
                <w:lang w:val="en-US" w:eastAsia="zh-CN" w:bidi="ar-SA"/>
              </w:rPr>
              <w:t>主要原辅材料表</w:t>
            </w:r>
          </w:p>
          <w:tbl>
            <w:tblPr>
              <w:tblStyle w:val="1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727"/>
              <w:gridCol w:w="2059"/>
              <w:gridCol w:w="874"/>
              <w:gridCol w:w="1259"/>
              <w:gridCol w:w="1430"/>
              <w:gridCol w:w="2676"/>
            </w:tblGrid>
            <w:tr w14:paraId="1B0CD7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71" w:hRule="atLeast"/>
                <w:jc w:val="center"/>
              </w:trPr>
              <w:tc>
                <w:tcPr>
                  <w:tcW w:w="403" w:type="pct"/>
                  <w:tcBorders>
                    <w:tl2br w:val="nil"/>
                    <w:tr2bl w:val="nil"/>
                  </w:tcBorders>
                  <w:noWrap w:val="0"/>
                  <w:tcMar>
                    <w:top w:w="0" w:type="dxa"/>
                    <w:left w:w="108" w:type="dxa"/>
                    <w:bottom w:w="0" w:type="dxa"/>
                    <w:right w:w="108" w:type="dxa"/>
                  </w:tcMar>
                  <w:vAlign w:val="center"/>
                </w:tcPr>
                <w:p w14:paraId="511677DE">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序号</w:t>
                  </w:r>
                </w:p>
              </w:tc>
              <w:tc>
                <w:tcPr>
                  <w:tcW w:w="1140" w:type="pct"/>
                  <w:tcBorders>
                    <w:tl2br w:val="nil"/>
                    <w:tr2bl w:val="nil"/>
                  </w:tcBorders>
                  <w:noWrap w:val="0"/>
                  <w:vAlign w:val="center"/>
                </w:tcPr>
                <w:p w14:paraId="3BFADF65">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名称</w:t>
                  </w:r>
                </w:p>
              </w:tc>
              <w:tc>
                <w:tcPr>
                  <w:tcW w:w="484" w:type="pct"/>
                  <w:tcBorders>
                    <w:tl2br w:val="nil"/>
                    <w:tr2bl w:val="nil"/>
                  </w:tcBorders>
                  <w:noWrap w:val="0"/>
                  <w:tcMar>
                    <w:top w:w="0" w:type="dxa"/>
                    <w:left w:w="108" w:type="dxa"/>
                    <w:bottom w:w="0" w:type="dxa"/>
                    <w:right w:w="108" w:type="dxa"/>
                  </w:tcMar>
                  <w:vAlign w:val="center"/>
                </w:tcPr>
                <w:p w14:paraId="3476E00C">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单位</w:t>
                  </w:r>
                </w:p>
              </w:tc>
              <w:tc>
                <w:tcPr>
                  <w:tcW w:w="697" w:type="pct"/>
                  <w:tcBorders>
                    <w:tl2br w:val="nil"/>
                    <w:tr2bl w:val="nil"/>
                  </w:tcBorders>
                  <w:noWrap w:val="0"/>
                  <w:tcMar>
                    <w:top w:w="0" w:type="dxa"/>
                    <w:left w:w="108" w:type="dxa"/>
                    <w:bottom w:w="0" w:type="dxa"/>
                    <w:right w:w="108" w:type="dxa"/>
                  </w:tcMar>
                  <w:vAlign w:val="center"/>
                </w:tcPr>
                <w:p w14:paraId="287774F0">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lang w:val="en-US" w:eastAsia="zh-CN"/>
                    </w:rPr>
                    <w:t>环评</w:t>
                  </w:r>
                  <w:r>
                    <w:rPr>
                      <w:rFonts w:hint="default" w:ascii="Times New Roman" w:hAnsi="Times New Roman" w:eastAsia="宋体" w:cs="Times New Roman"/>
                      <w:b/>
                      <w:bCs/>
                      <w:color w:val="auto"/>
                      <w:kern w:val="0"/>
                      <w:sz w:val="21"/>
                      <w:szCs w:val="21"/>
                    </w:rPr>
                    <w:t>用量</w:t>
                  </w:r>
                </w:p>
              </w:tc>
              <w:tc>
                <w:tcPr>
                  <w:tcW w:w="792" w:type="pct"/>
                  <w:tcBorders>
                    <w:tl2br w:val="nil"/>
                    <w:tr2bl w:val="nil"/>
                  </w:tcBorders>
                  <w:noWrap w:val="0"/>
                  <w:tcMar>
                    <w:top w:w="0" w:type="dxa"/>
                    <w:left w:w="108" w:type="dxa"/>
                    <w:bottom w:w="0" w:type="dxa"/>
                    <w:right w:w="108" w:type="dxa"/>
                  </w:tcMar>
                  <w:vAlign w:val="center"/>
                </w:tcPr>
                <w:p w14:paraId="00F93E9C">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现阶段</w:t>
                  </w:r>
                  <w:r>
                    <w:rPr>
                      <w:rFonts w:hint="default" w:ascii="Times New Roman" w:hAnsi="Times New Roman" w:eastAsia="宋体" w:cs="Times New Roman"/>
                      <w:b/>
                      <w:bCs/>
                      <w:color w:val="auto"/>
                      <w:kern w:val="0"/>
                      <w:sz w:val="21"/>
                      <w:szCs w:val="21"/>
                      <w:lang w:val="en-US" w:eastAsia="zh-CN"/>
                    </w:rPr>
                    <w:t>用量</w:t>
                  </w:r>
                </w:p>
              </w:tc>
              <w:tc>
                <w:tcPr>
                  <w:tcW w:w="1482" w:type="pct"/>
                  <w:tcBorders>
                    <w:tl2br w:val="nil"/>
                    <w:tr2bl w:val="nil"/>
                  </w:tcBorders>
                  <w:noWrap w:val="0"/>
                  <w:tcMar>
                    <w:top w:w="0" w:type="dxa"/>
                    <w:left w:w="108" w:type="dxa"/>
                    <w:bottom w:w="0" w:type="dxa"/>
                    <w:right w:w="108" w:type="dxa"/>
                  </w:tcMar>
                  <w:vAlign w:val="center"/>
                </w:tcPr>
                <w:p w14:paraId="325AAF38">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color w:val="auto"/>
                      <w:kern w:val="0"/>
                      <w:sz w:val="21"/>
                      <w:szCs w:val="21"/>
                      <w:lang w:eastAsia="zh-CN"/>
                    </w:rPr>
                  </w:pPr>
                  <w:r>
                    <w:rPr>
                      <w:rFonts w:hint="default" w:ascii="Times New Roman" w:hAnsi="Times New Roman" w:eastAsia="宋体" w:cs="Times New Roman"/>
                      <w:b/>
                      <w:bCs/>
                      <w:color w:val="auto"/>
                      <w:kern w:val="0"/>
                      <w:sz w:val="21"/>
                      <w:szCs w:val="21"/>
                      <w:lang w:eastAsia="zh-CN"/>
                    </w:rPr>
                    <w:t>存储位置</w:t>
                  </w:r>
                </w:p>
              </w:tc>
            </w:tr>
            <w:tr w14:paraId="2F4351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403" w:type="pct"/>
                  <w:tcBorders>
                    <w:tl2br w:val="nil"/>
                    <w:tr2bl w:val="nil"/>
                  </w:tcBorders>
                  <w:shd w:val="clear" w:color="auto" w:fill="auto"/>
                  <w:noWrap w:val="0"/>
                  <w:tcMar>
                    <w:top w:w="0" w:type="dxa"/>
                    <w:left w:w="108" w:type="dxa"/>
                    <w:bottom w:w="0" w:type="dxa"/>
                    <w:right w:w="108" w:type="dxa"/>
                  </w:tcMar>
                  <w:vAlign w:val="center"/>
                </w:tcPr>
                <w:p w14:paraId="5463D524">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rPr>
                    <w:t>1</w:t>
                  </w:r>
                </w:p>
              </w:tc>
              <w:tc>
                <w:tcPr>
                  <w:tcW w:w="1140" w:type="pct"/>
                  <w:tcBorders>
                    <w:tl2br w:val="nil"/>
                    <w:tr2bl w:val="nil"/>
                  </w:tcBorders>
                  <w:noWrap w:val="0"/>
                  <w:vAlign w:val="center"/>
                </w:tcPr>
                <w:p w14:paraId="3E416528">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default" w:ascii="Times New Roman" w:hAnsi="Times New Roman" w:eastAsia="宋体" w:cs="Times New Roman"/>
                      <w:bCs/>
                      <w:color w:val="auto"/>
                      <w:kern w:val="0"/>
                      <w:sz w:val="21"/>
                      <w:szCs w:val="21"/>
                      <w:lang w:val="en-US" w:eastAsia="zh-CN"/>
                    </w:rPr>
                    <w:t>PVC膜</w:t>
                  </w:r>
                </w:p>
              </w:tc>
              <w:tc>
                <w:tcPr>
                  <w:tcW w:w="484" w:type="pct"/>
                  <w:tcBorders>
                    <w:tl2br w:val="nil"/>
                    <w:tr2bl w:val="nil"/>
                  </w:tcBorders>
                  <w:noWrap w:val="0"/>
                  <w:tcMar>
                    <w:top w:w="0" w:type="dxa"/>
                    <w:left w:w="108" w:type="dxa"/>
                    <w:bottom w:w="0" w:type="dxa"/>
                    <w:right w:w="108" w:type="dxa"/>
                  </w:tcMar>
                  <w:vAlign w:val="center"/>
                </w:tcPr>
                <w:p w14:paraId="4C6104F7">
                  <w:pPr>
                    <w:widowControl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t/a</w:t>
                  </w:r>
                </w:p>
              </w:tc>
              <w:tc>
                <w:tcPr>
                  <w:tcW w:w="697" w:type="pct"/>
                  <w:tcBorders>
                    <w:tl2br w:val="nil"/>
                    <w:tr2bl w:val="nil"/>
                  </w:tcBorders>
                  <w:noWrap w:val="0"/>
                  <w:tcMar>
                    <w:top w:w="0" w:type="dxa"/>
                    <w:left w:w="108" w:type="dxa"/>
                    <w:bottom w:w="0" w:type="dxa"/>
                    <w:right w:w="108" w:type="dxa"/>
                  </w:tcMar>
                  <w:vAlign w:val="center"/>
                </w:tcPr>
                <w:p w14:paraId="00B6570E">
                  <w:pPr>
                    <w:widowControl w:val="0"/>
                    <w:spacing w:after="0" w:afterLines="-2147483648" w:line="240" w:lineRule="auto"/>
                    <w:ind w:firstLine="0" w:firstLineChars="0"/>
                    <w:jc w:val="center"/>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rPr>
                    <w:t>60</w:t>
                  </w:r>
                  <w:r>
                    <w:rPr>
                      <w:rFonts w:hint="default" w:ascii="Times New Roman" w:hAnsi="Times New Roman" w:eastAsia="宋体" w:cs="Times New Roman"/>
                      <w:color w:val="auto"/>
                      <w:kern w:val="2"/>
                      <w:sz w:val="21"/>
                      <w:szCs w:val="21"/>
                      <w:lang w:val="en-US" w:eastAsia="zh-CN"/>
                    </w:rPr>
                    <w:t>000</w:t>
                  </w:r>
                </w:p>
              </w:tc>
              <w:tc>
                <w:tcPr>
                  <w:tcW w:w="792" w:type="pct"/>
                  <w:tcBorders>
                    <w:tl2br w:val="nil"/>
                    <w:tr2bl w:val="nil"/>
                  </w:tcBorders>
                  <w:noWrap w:val="0"/>
                  <w:tcMar>
                    <w:top w:w="0" w:type="dxa"/>
                    <w:left w:w="108" w:type="dxa"/>
                    <w:bottom w:w="0" w:type="dxa"/>
                    <w:right w:w="108" w:type="dxa"/>
                  </w:tcMar>
                  <w:vAlign w:val="center"/>
                </w:tcPr>
                <w:p w14:paraId="4B0CEFE1">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default" w:ascii="Times New Roman" w:hAnsi="Times New Roman" w:eastAsia="宋体" w:cs="Times New Roman"/>
                      <w:bCs/>
                      <w:color w:val="auto"/>
                      <w:kern w:val="0"/>
                      <w:sz w:val="21"/>
                      <w:szCs w:val="21"/>
                      <w:lang w:val="en-US" w:eastAsia="zh-CN"/>
                    </w:rPr>
                    <w:t>20000</w:t>
                  </w:r>
                </w:p>
              </w:tc>
              <w:tc>
                <w:tcPr>
                  <w:tcW w:w="1482" w:type="pct"/>
                  <w:tcBorders>
                    <w:tl2br w:val="nil"/>
                    <w:tr2bl w:val="nil"/>
                  </w:tcBorders>
                  <w:noWrap w:val="0"/>
                  <w:tcMar>
                    <w:top w:w="0" w:type="dxa"/>
                    <w:left w:w="108" w:type="dxa"/>
                    <w:bottom w:w="0" w:type="dxa"/>
                    <w:right w:w="108" w:type="dxa"/>
                  </w:tcMar>
                  <w:vAlign w:val="center"/>
                </w:tcPr>
                <w:p w14:paraId="4DD17B6D">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default" w:ascii="Times New Roman" w:hAnsi="Times New Roman" w:eastAsia="宋体" w:cs="Times New Roman"/>
                      <w:bCs/>
                      <w:color w:val="auto"/>
                      <w:kern w:val="0"/>
                      <w:sz w:val="21"/>
                      <w:szCs w:val="21"/>
                      <w:lang w:val="en-US" w:eastAsia="zh-CN"/>
                    </w:rPr>
                    <w:t>原辅材料库</w:t>
                  </w:r>
                </w:p>
              </w:tc>
            </w:tr>
            <w:tr w14:paraId="05DAB3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403" w:type="pct"/>
                  <w:tcBorders>
                    <w:tl2br w:val="nil"/>
                    <w:tr2bl w:val="nil"/>
                  </w:tcBorders>
                  <w:shd w:val="clear" w:color="auto" w:fill="auto"/>
                  <w:noWrap w:val="0"/>
                  <w:tcMar>
                    <w:top w:w="0" w:type="dxa"/>
                    <w:left w:w="108" w:type="dxa"/>
                    <w:bottom w:w="0" w:type="dxa"/>
                    <w:right w:w="108" w:type="dxa"/>
                  </w:tcMar>
                  <w:vAlign w:val="center"/>
                </w:tcPr>
                <w:p w14:paraId="7CE854AE">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rPr>
                    <w:t>2</w:t>
                  </w:r>
                </w:p>
              </w:tc>
              <w:tc>
                <w:tcPr>
                  <w:tcW w:w="1140" w:type="pct"/>
                  <w:tcBorders>
                    <w:tl2br w:val="nil"/>
                    <w:tr2bl w:val="nil"/>
                  </w:tcBorders>
                  <w:noWrap w:val="0"/>
                  <w:vAlign w:val="center"/>
                </w:tcPr>
                <w:p w14:paraId="0174FE59">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水性丙烯酸压敏胶</w:t>
                  </w:r>
                </w:p>
              </w:tc>
              <w:tc>
                <w:tcPr>
                  <w:tcW w:w="484" w:type="pct"/>
                  <w:tcBorders>
                    <w:tl2br w:val="nil"/>
                    <w:tr2bl w:val="nil"/>
                  </w:tcBorders>
                  <w:noWrap w:val="0"/>
                  <w:tcMar>
                    <w:top w:w="0" w:type="dxa"/>
                    <w:left w:w="108" w:type="dxa"/>
                    <w:bottom w:w="0" w:type="dxa"/>
                    <w:right w:w="108" w:type="dxa"/>
                  </w:tcMar>
                  <w:vAlign w:val="center"/>
                </w:tcPr>
                <w:p w14:paraId="76E699AB">
                  <w:pPr>
                    <w:widowControl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t/a</w:t>
                  </w:r>
                </w:p>
              </w:tc>
              <w:tc>
                <w:tcPr>
                  <w:tcW w:w="697" w:type="pct"/>
                  <w:tcBorders>
                    <w:tl2br w:val="nil"/>
                    <w:tr2bl w:val="nil"/>
                  </w:tcBorders>
                  <w:noWrap w:val="0"/>
                  <w:tcMar>
                    <w:top w:w="0" w:type="dxa"/>
                    <w:left w:w="108" w:type="dxa"/>
                    <w:bottom w:w="0" w:type="dxa"/>
                    <w:right w:w="108" w:type="dxa"/>
                  </w:tcMar>
                  <w:vAlign w:val="center"/>
                </w:tcPr>
                <w:p w14:paraId="0B3B0FC4">
                  <w:pPr>
                    <w:widowControl w:val="0"/>
                    <w:spacing w:after="0" w:afterLines="-2147483648" w:line="240" w:lineRule="auto"/>
                    <w:ind w:firstLine="0" w:firstLineChars="0"/>
                    <w:jc w:val="center"/>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rPr>
                    <w:t>500</w:t>
                  </w:r>
                </w:p>
              </w:tc>
              <w:tc>
                <w:tcPr>
                  <w:tcW w:w="792" w:type="pct"/>
                  <w:tcBorders>
                    <w:tl2br w:val="nil"/>
                    <w:tr2bl w:val="nil"/>
                  </w:tcBorders>
                  <w:noWrap w:val="0"/>
                  <w:tcMar>
                    <w:top w:w="0" w:type="dxa"/>
                    <w:left w:w="108" w:type="dxa"/>
                    <w:bottom w:w="0" w:type="dxa"/>
                    <w:right w:w="108" w:type="dxa"/>
                  </w:tcMar>
                  <w:vAlign w:val="center"/>
                </w:tcPr>
                <w:p w14:paraId="6A14FB58">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116.7</w:t>
                  </w:r>
                </w:p>
              </w:tc>
              <w:tc>
                <w:tcPr>
                  <w:tcW w:w="1482" w:type="pct"/>
                  <w:vMerge w:val="restart"/>
                  <w:tcBorders>
                    <w:tl2br w:val="nil"/>
                    <w:tr2bl w:val="nil"/>
                  </w:tcBorders>
                  <w:noWrap w:val="0"/>
                  <w:tcMar>
                    <w:top w:w="0" w:type="dxa"/>
                    <w:left w:w="108" w:type="dxa"/>
                    <w:bottom w:w="0" w:type="dxa"/>
                    <w:right w:w="108" w:type="dxa"/>
                  </w:tcMar>
                  <w:vAlign w:val="center"/>
                </w:tcPr>
                <w:p w14:paraId="2B563A33">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default" w:ascii="Times New Roman" w:hAnsi="Times New Roman" w:eastAsia="宋体" w:cs="Times New Roman"/>
                      <w:bCs/>
                      <w:color w:val="auto"/>
                      <w:kern w:val="0"/>
                      <w:sz w:val="21"/>
                      <w:szCs w:val="21"/>
                      <w:lang w:val="en-US" w:eastAsia="zh-CN"/>
                    </w:rPr>
                    <w:t>危化品库</w:t>
                  </w:r>
                </w:p>
              </w:tc>
            </w:tr>
            <w:tr w14:paraId="6B833D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403" w:type="pct"/>
                  <w:tcBorders>
                    <w:tl2br w:val="nil"/>
                    <w:tr2bl w:val="nil"/>
                  </w:tcBorders>
                  <w:shd w:val="clear" w:color="auto" w:fill="auto"/>
                  <w:noWrap w:val="0"/>
                  <w:tcMar>
                    <w:top w:w="0" w:type="dxa"/>
                    <w:left w:w="108" w:type="dxa"/>
                    <w:bottom w:w="0" w:type="dxa"/>
                    <w:right w:w="108" w:type="dxa"/>
                  </w:tcMar>
                  <w:vAlign w:val="center"/>
                </w:tcPr>
                <w:p w14:paraId="7D66E8B0">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bCs/>
                      <w:color w:val="auto"/>
                      <w:kern w:val="0"/>
                      <w:sz w:val="21"/>
                      <w:szCs w:val="21"/>
                      <w:lang w:val="en-US" w:eastAsia="zh-CN"/>
                    </w:rPr>
                    <w:t>3</w:t>
                  </w:r>
                </w:p>
              </w:tc>
              <w:tc>
                <w:tcPr>
                  <w:tcW w:w="1140" w:type="pct"/>
                  <w:tcBorders>
                    <w:tl2br w:val="nil"/>
                    <w:tr2bl w:val="nil"/>
                  </w:tcBorders>
                  <w:noWrap w:val="0"/>
                  <w:vAlign w:val="center"/>
                </w:tcPr>
                <w:p w14:paraId="2A87572C">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水性油墨</w:t>
                  </w:r>
                </w:p>
              </w:tc>
              <w:tc>
                <w:tcPr>
                  <w:tcW w:w="484" w:type="pct"/>
                  <w:tcBorders>
                    <w:tl2br w:val="nil"/>
                    <w:tr2bl w:val="nil"/>
                  </w:tcBorders>
                  <w:shd w:val="clear" w:color="auto" w:fill="auto"/>
                  <w:noWrap w:val="0"/>
                  <w:tcMar>
                    <w:top w:w="0" w:type="dxa"/>
                    <w:left w:w="108" w:type="dxa"/>
                    <w:bottom w:w="0" w:type="dxa"/>
                    <w:right w:w="108" w:type="dxa"/>
                  </w:tcMar>
                  <w:vAlign w:val="center"/>
                </w:tcPr>
                <w:p w14:paraId="16368D78">
                  <w:pPr>
                    <w:widowControl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t/a</w:t>
                  </w:r>
                </w:p>
              </w:tc>
              <w:tc>
                <w:tcPr>
                  <w:tcW w:w="697" w:type="pct"/>
                  <w:tcBorders>
                    <w:tl2br w:val="nil"/>
                    <w:tr2bl w:val="nil"/>
                  </w:tcBorders>
                  <w:noWrap w:val="0"/>
                  <w:tcMar>
                    <w:top w:w="0" w:type="dxa"/>
                    <w:left w:w="108" w:type="dxa"/>
                    <w:bottom w:w="0" w:type="dxa"/>
                    <w:right w:w="108" w:type="dxa"/>
                  </w:tcMar>
                  <w:vAlign w:val="center"/>
                </w:tcPr>
                <w:p w14:paraId="5253BC93">
                  <w:pPr>
                    <w:widowControl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2</w:t>
                  </w:r>
                </w:p>
              </w:tc>
              <w:tc>
                <w:tcPr>
                  <w:tcW w:w="792" w:type="pct"/>
                  <w:tcBorders>
                    <w:tl2br w:val="nil"/>
                    <w:tr2bl w:val="nil"/>
                  </w:tcBorders>
                  <w:noWrap w:val="0"/>
                  <w:tcMar>
                    <w:top w:w="0" w:type="dxa"/>
                    <w:left w:w="108" w:type="dxa"/>
                    <w:bottom w:w="0" w:type="dxa"/>
                    <w:right w:w="108" w:type="dxa"/>
                  </w:tcMar>
                  <w:vAlign w:val="center"/>
                </w:tcPr>
                <w:p w14:paraId="1C64DFB7">
                  <w:pPr>
                    <w:widowControl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0.7</w:t>
                  </w:r>
                </w:p>
              </w:tc>
              <w:tc>
                <w:tcPr>
                  <w:tcW w:w="1482" w:type="pct"/>
                  <w:vMerge w:val="continue"/>
                  <w:tcBorders>
                    <w:tl2br w:val="nil"/>
                    <w:tr2bl w:val="nil"/>
                  </w:tcBorders>
                  <w:noWrap w:val="0"/>
                  <w:tcMar>
                    <w:top w:w="0" w:type="dxa"/>
                    <w:left w:w="108" w:type="dxa"/>
                    <w:bottom w:w="0" w:type="dxa"/>
                    <w:right w:w="108" w:type="dxa"/>
                  </w:tcMar>
                  <w:vAlign w:val="center"/>
                </w:tcPr>
                <w:p w14:paraId="47704FEF">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p>
              </w:tc>
            </w:tr>
            <w:tr w14:paraId="02419A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403" w:type="pct"/>
                  <w:tcBorders>
                    <w:tl2br w:val="nil"/>
                    <w:tr2bl w:val="nil"/>
                  </w:tcBorders>
                  <w:shd w:val="clear" w:color="auto" w:fill="auto"/>
                  <w:noWrap w:val="0"/>
                  <w:tcMar>
                    <w:top w:w="0" w:type="dxa"/>
                    <w:left w:w="108" w:type="dxa"/>
                    <w:bottom w:w="0" w:type="dxa"/>
                    <w:right w:w="108" w:type="dxa"/>
                  </w:tcMar>
                  <w:vAlign w:val="center"/>
                </w:tcPr>
                <w:p w14:paraId="2EE30DAB">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kern w:val="0"/>
                      <w:sz w:val="21"/>
                      <w:szCs w:val="21"/>
                      <w:lang w:val="en-US" w:eastAsia="zh-CN"/>
                    </w:rPr>
                    <w:t>4</w:t>
                  </w:r>
                </w:p>
              </w:tc>
              <w:tc>
                <w:tcPr>
                  <w:tcW w:w="1140" w:type="pct"/>
                  <w:tcBorders>
                    <w:tl2br w:val="nil"/>
                    <w:tr2bl w:val="nil"/>
                  </w:tcBorders>
                  <w:noWrap w:val="0"/>
                  <w:vAlign w:val="center"/>
                </w:tcPr>
                <w:p w14:paraId="06A89A0C">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固化剂</w:t>
                  </w:r>
                </w:p>
              </w:tc>
              <w:tc>
                <w:tcPr>
                  <w:tcW w:w="484" w:type="pct"/>
                  <w:tcBorders>
                    <w:tl2br w:val="nil"/>
                    <w:tr2bl w:val="nil"/>
                  </w:tcBorders>
                  <w:shd w:val="clear" w:color="auto" w:fill="auto"/>
                  <w:noWrap w:val="0"/>
                  <w:tcMar>
                    <w:top w:w="0" w:type="dxa"/>
                    <w:left w:w="108" w:type="dxa"/>
                    <w:bottom w:w="0" w:type="dxa"/>
                    <w:right w:w="108" w:type="dxa"/>
                  </w:tcMar>
                  <w:vAlign w:val="center"/>
                </w:tcPr>
                <w:p w14:paraId="77C08FA0">
                  <w:pPr>
                    <w:widowControl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t/a</w:t>
                  </w:r>
                </w:p>
              </w:tc>
              <w:tc>
                <w:tcPr>
                  <w:tcW w:w="697" w:type="pct"/>
                  <w:tcBorders>
                    <w:tl2br w:val="nil"/>
                    <w:tr2bl w:val="nil"/>
                  </w:tcBorders>
                  <w:noWrap w:val="0"/>
                  <w:tcMar>
                    <w:top w:w="0" w:type="dxa"/>
                    <w:left w:w="108" w:type="dxa"/>
                    <w:bottom w:w="0" w:type="dxa"/>
                    <w:right w:w="108" w:type="dxa"/>
                  </w:tcMar>
                  <w:vAlign w:val="center"/>
                </w:tcPr>
                <w:p w14:paraId="1A0D0330">
                  <w:pPr>
                    <w:widowControl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15</w:t>
                  </w:r>
                </w:p>
              </w:tc>
              <w:tc>
                <w:tcPr>
                  <w:tcW w:w="792" w:type="pct"/>
                  <w:tcBorders>
                    <w:tl2br w:val="nil"/>
                    <w:tr2bl w:val="nil"/>
                  </w:tcBorders>
                  <w:noWrap w:val="0"/>
                  <w:tcMar>
                    <w:top w:w="0" w:type="dxa"/>
                    <w:left w:w="108" w:type="dxa"/>
                    <w:bottom w:w="0" w:type="dxa"/>
                    <w:right w:w="108" w:type="dxa"/>
                  </w:tcMar>
                  <w:vAlign w:val="center"/>
                </w:tcPr>
                <w:p w14:paraId="6E27E98D">
                  <w:pPr>
                    <w:widowControl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5</w:t>
                  </w:r>
                </w:p>
              </w:tc>
              <w:tc>
                <w:tcPr>
                  <w:tcW w:w="1482" w:type="pct"/>
                  <w:vMerge w:val="continue"/>
                  <w:tcBorders>
                    <w:tl2br w:val="nil"/>
                    <w:tr2bl w:val="nil"/>
                  </w:tcBorders>
                  <w:noWrap w:val="0"/>
                  <w:tcMar>
                    <w:top w:w="0" w:type="dxa"/>
                    <w:left w:w="108" w:type="dxa"/>
                    <w:bottom w:w="0" w:type="dxa"/>
                    <w:right w:w="108" w:type="dxa"/>
                  </w:tcMar>
                  <w:vAlign w:val="center"/>
                </w:tcPr>
                <w:p w14:paraId="3D561B9A">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p>
              </w:tc>
            </w:tr>
            <w:tr w14:paraId="5B939D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jc w:val="center"/>
              </w:trPr>
              <w:tc>
                <w:tcPr>
                  <w:tcW w:w="403" w:type="pct"/>
                  <w:tcBorders>
                    <w:tl2br w:val="nil"/>
                    <w:tr2bl w:val="nil"/>
                  </w:tcBorders>
                  <w:shd w:val="clear" w:color="auto" w:fill="auto"/>
                  <w:noWrap w:val="0"/>
                  <w:tcMar>
                    <w:top w:w="0" w:type="dxa"/>
                    <w:left w:w="108" w:type="dxa"/>
                    <w:bottom w:w="0" w:type="dxa"/>
                    <w:right w:w="108" w:type="dxa"/>
                  </w:tcMar>
                  <w:vAlign w:val="center"/>
                </w:tcPr>
                <w:p w14:paraId="1A1CE584">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kern w:val="0"/>
                      <w:sz w:val="21"/>
                      <w:szCs w:val="21"/>
                      <w:lang w:val="en-US" w:eastAsia="zh-CN"/>
                    </w:rPr>
                    <w:t>5</w:t>
                  </w:r>
                </w:p>
              </w:tc>
              <w:tc>
                <w:tcPr>
                  <w:tcW w:w="1140" w:type="pct"/>
                  <w:tcBorders>
                    <w:tl2br w:val="nil"/>
                    <w:tr2bl w:val="nil"/>
                  </w:tcBorders>
                  <w:noWrap w:val="0"/>
                  <w:vAlign w:val="center"/>
                </w:tcPr>
                <w:p w14:paraId="30B46603">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eastAsia" w:ascii="Times New Roman" w:hAnsi="Times New Roman" w:eastAsia="宋体" w:cs="Times New Roman"/>
                      <w:bCs/>
                      <w:color w:val="auto"/>
                      <w:kern w:val="0"/>
                      <w:sz w:val="21"/>
                      <w:szCs w:val="21"/>
                      <w:lang w:val="en-US" w:eastAsia="zh-CN"/>
                    </w:rPr>
                    <w:t>甲醇</w:t>
                  </w:r>
                </w:p>
              </w:tc>
              <w:tc>
                <w:tcPr>
                  <w:tcW w:w="484" w:type="pct"/>
                  <w:tcBorders>
                    <w:tl2br w:val="nil"/>
                    <w:tr2bl w:val="nil"/>
                  </w:tcBorders>
                  <w:shd w:val="clear" w:color="auto" w:fill="auto"/>
                  <w:noWrap w:val="0"/>
                  <w:tcMar>
                    <w:top w:w="0" w:type="dxa"/>
                    <w:left w:w="108" w:type="dxa"/>
                    <w:bottom w:w="0" w:type="dxa"/>
                    <w:right w:w="108" w:type="dxa"/>
                  </w:tcMar>
                  <w:vAlign w:val="center"/>
                </w:tcPr>
                <w:p w14:paraId="0194D361">
                  <w:pPr>
                    <w:widowControl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t/a</w:t>
                  </w:r>
                </w:p>
              </w:tc>
              <w:tc>
                <w:tcPr>
                  <w:tcW w:w="697" w:type="pct"/>
                  <w:tcBorders>
                    <w:tl2br w:val="nil"/>
                    <w:tr2bl w:val="nil"/>
                  </w:tcBorders>
                  <w:noWrap w:val="0"/>
                  <w:tcMar>
                    <w:top w:w="0" w:type="dxa"/>
                    <w:left w:w="108" w:type="dxa"/>
                    <w:bottom w:w="0" w:type="dxa"/>
                    <w:right w:w="108" w:type="dxa"/>
                  </w:tcMar>
                  <w:vAlign w:val="center"/>
                </w:tcPr>
                <w:p w14:paraId="4AA110B3">
                  <w:pPr>
                    <w:widowControl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0.3</w:t>
                  </w:r>
                </w:p>
              </w:tc>
              <w:tc>
                <w:tcPr>
                  <w:tcW w:w="792" w:type="pct"/>
                  <w:tcBorders>
                    <w:tl2br w:val="nil"/>
                    <w:tr2bl w:val="nil"/>
                  </w:tcBorders>
                  <w:noWrap w:val="0"/>
                  <w:tcMar>
                    <w:top w:w="0" w:type="dxa"/>
                    <w:left w:w="108" w:type="dxa"/>
                    <w:bottom w:w="0" w:type="dxa"/>
                    <w:right w:w="108" w:type="dxa"/>
                  </w:tcMar>
                  <w:vAlign w:val="center"/>
                </w:tcPr>
                <w:p w14:paraId="09510671">
                  <w:pPr>
                    <w:widowControl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0.1</w:t>
                  </w:r>
                </w:p>
              </w:tc>
              <w:tc>
                <w:tcPr>
                  <w:tcW w:w="1482" w:type="pct"/>
                  <w:tcBorders>
                    <w:tl2br w:val="nil"/>
                    <w:tr2bl w:val="nil"/>
                  </w:tcBorders>
                  <w:noWrap w:val="0"/>
                  <w:tcMar>
                    <w:top w:w="0" w:type="dxa"/>
                    <w:left w:w="108" w:type="dxa"/>
                    <w:bottom w:w="0" w:type="dxa"/>
                    <w:right w:w="108" w:type="dxa"/>
                  </w:tcMar>
                  <w:vAlign w:val="center"/>
                </w:tcPr>
                <w:p w14:paraId="76C547D0">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Cs/>
                      <w:color w:val="auto"/>
                      <w:kern w:val="0"/>
                      <w:sz w:val="21"/>
                      <w:szCs w:val="21"/>
                      <w:lang w:val="en-US" w:eastAsia="zh-CN"/>
                    </w:rPr>
                  </w:pPr>
                  <w:r>
                    <w:rPr>
                      <w:rFonts w:hint="default" w:ascii="Times New Roman" w:hAnsi="Times New Roman" w:eastAsia="宋体" w:cs="Times New Roman"/>
                      <w:bCs/>
                      <w:color w:val="auto"/>
                      <w:kern w:val="0"/>
                      <w:sz w:val="21"/>
                      <w:szCs w:val="21"/>
                      <w:lang w:val="en-US" w:eastAsia="zh-CN"/>
                    </w:rPr>
                    <w:t>即买即用，不在厂区内存储；与水1:10配比后</w:t>
                  </w:r>
                  <w:r>
                    <w:rPr>
                      <w:rFonts w:hint="eastAsia" w:ascii="Times New Roman" w:hAnsi="Times New Roman" w:eastAsia="宋体" w:cs="Times New Roman"/>
                      <w:bCs/>
                      <w:color w:val="auto"/>
                      <w:kern w:val="0"/>
                      <w:sz w:val="21"/>
                      <w:szCs w:val="21"/>
                      <w:lang w:val="en-US" w:eastAsia="zh-CN"/>
                    </w:rPr>
                    <w:t>作为</w:t>
                  </w:r>
                  <w:r>
                    <w:rPr>
                      <w:rStyle w:val="21"/>
                      <w:rFonts w:ascii="宋体" w:hAnsi="宋体" w:eastAsia="宋体" w:cs="Times New Roman"/>
                      <w:kern w:val="2"/>
                      <w:sz w:val="21"/>
                      <w:lang w:val="en-US" w:eastAsia="zh-CN" w:bidi="ar-SA"/>
                    </w:rPr>
                    <w:t>清洗剂</w:t>
                  </w:r>
                  <w:r>
                    <w:rPr>
                      <w:rFonts w:hint="default" w:ascii="Times New Roman" w:hAnsi="Times New Roman" w:eastAsia="宋体" w:cs="Times New Roman"/>
                      <w:bCs/>
                      <w:color w:val="auto"/>
                      <w:kern w:val="0"/>
                      <w:sz w:val="21"/>
                      <w:szCs w:val="21"/>
                      <w:lang w:val="en-US" w:eastAsia="zh-CN"/>
                    </w:rPr>
                    <w:t>使用</w:t>
                  </w:r>
                </w:p>
              </w:tc>
            </w:tr>
          </w:tbl>
          <w:p w14:paraId="622CEDF2">
            <w:pPr>
              <w:keepNext w:val="0"/>
              <w:keepLines w:val="0"/>
              <w:pageBreakBefore w:val="0"/>
              <w:widowControl w:val="0"/>
              <w:kinsoku/>
              <w:wordWrap/>
              <w:overflowPunct/>
              <w:topLinePunct w:val="0"/>
              <w:autoSpaceDE/>
              <w:autoSpaceDN/>
              <w:bidi w:val="0"/>
              <w:adjustRightInd w:val="0"/>
              <w:snapToGrid w:val="0"/>
              <w:spacing w:after="181" w:afterLines="50" w:line="240" w:lineRule="auto"/>
              <w:ind w:firstLine="0" w:firstLineChars="0"/>
              <w:jc w:val="both"/>
              <w:textAlignment w:val="auto"/>
              <w:rPr>
                <w:rFonts w:hint="default" w:ascii="Times New Roman" w:hAnsi="Times New Roman" w:eastAsia="宋体" w:cs="Times New Roman"/>
                <w:b/>
                <w:bCs/>
                <w:color w:val="auto"/>
                <w:kern w:val="2"/>
                <w:sz w:val="21"/>
                <w:szCs w:val="21"/>
                <w:lang w:val="en-US" w:eastAsia="zh-CN"/>
              </w:rPr>
            </w:pPr>
            <w:r>
              <w:rPr>
                <w:rFonts w:hint="eastAsia" w:ascii="Times New Roman" w:hAnsi="Times New Roman" w:eastAsia="宋体" w:cs="Times New Roman"/>
                <w:b/>
                <w:bCs/>
                <w:color w:val="auto"/>
                <w:kern w:val="2"/>
                <w:sz w:val="21"/>
                <w:szCs w:val="21"/>
                <w:lang w:val="en-US" w:eastAsia="zh-CN"/>
              </w:rPr>
              <w:t>注：根据《清洗剂挥发性有机化合物含量限值》（GB 38508—2020）可知，项目使用的甲醇清洗剂属于半水基清洗剂。半水基清洗剂VOC含量≤300g/L为低VOC含量清洗剂。项目甲醇使用过程中与水按1:10配比后使用</w:t>
            </w:r>
            <w:r>
              <w:rPr>
                <w:rFonts w:hint="eastAsia" w:ascii="Times New Roman" w:hAnsi="Times New Roman" w:eastAsia="宋体" w:cs="Times New Roman"/>
                <w:b/>
                <w:bCs/>
                <w:color w:val="auto"/>
                <w:kern w:val="2"/>
                <w:sz w:val="21"/>
                <w:szCs w:val="21"/>
                <w:highlight w:val="none"/>
                <w:lang w:val="en-US" w:eastAsia="zh-CN"/>
              </w:rPr>
              <w:t>，</w:t>
            </w:r>
            <w:r>
              <w:rPr>
                <w:rFonts w:hint="eastAsia" w:ascii="Times New Roman" w:hAnsi="Times New Roman" w:eastAsia="宋体" w:cs="Times New Roman"/>
                <w:b/>
                <w:bCs/>
                <w:color w:val="auto"/>
                <w:kern w:val="2"/>
                <w:sz w:val="21"/>
                <w:szCs w:val="21"/>
                <w:lang w:val="en-US" w:eastAsia="zh-CN"/>
              </w:rPr>
              <w:t>经计算可知，项目甲醇清洗剂使用过程中VOC含量为72g/L≤300g/L。</w:t>
            </w:r>
          </w:p>
          <w:p w14:paraId="0A5F23A3">
            <w:pPr>
              <w:keepNext w:val="0"/>
              <w:keepLines w:val="0"/>
              <w:pageBreakBefore w:val="0"/>
              <w:widowControl w:val="0"/>
              <w:kinsoku/>
              <w:wordWrap/>
              <w:overflowPunct/>
              <w:topLinePunct w:val="0"/>
              <w:autoSpaceDE/>
              <w:autoSpaceDN/>
              <w:bidi w:val="0"/>
              <w:adjustRightInd w:val="0"/>
              <w:snapToGrid w:val="0"/>
              <w:spacing w:before="167" w:beforeLines="50" w:after="0" w:afterLines="-2147483648" w:line="24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rPr>
            </w:pPr>
            <w:r>
              <w:rPr>
                <w:rFonts w:hint="default" w:ascii="Times New Roman" w:hAnsi="Times New Roman" w:eastAsia="宋体" w:cs="Times New Roman"/>
                <w:b/>
                <w:bCs/>
                <w:color w:val="auto"/>
                <w:kern w:val="2"/>
                <w:sz w:val="21"/>
                <w:szCs w:val="21"/>
                <w:lang w:val="en-US" w:eastAsia="zh-CN"/>
              </w:rPr>
              <w:t>表2</w:t>
            </w:r>
            <w:r>
              <w:rPr>
                <w:rFonts w:hint="eastAsia" w:ascii="Times New Roman" w:hAnsi="Times New Roman" w:eastAsia="宋体" w:cs="Times New Roman"/>
                <w:b/>
                <w:bCs/>
                <w:color w:val="auto"/>
                <w:kern w:val="2"/>
                <w:sz w:val="21"/>
                <w:szCs w:val="21"/>
                <w:lang w:val="en-US" w:eastAsia="zh-CN"/>
              </w:rPr>
              <w:t>-5</w:t>
            </w:r>
            <w:r>
              <w:rPr>
                <w:rFonts w:hint="default" w:ascii="Times New Roman" w:hAnsi="Times New Roman" w:eastAsia="宋体" w:cs="Times New Roman"/>
                <w:b/>
                <w:bCs/>
                <w:color w:val="auto"/>
                <w:kern w:val="2"/>
                <w:sz w:val="21"/>
                <w:szCs w:val="21"/>
                <w:lang w:val="en-US" w:eastAsia="zh-CN"/>
              </w:rPr>
              <w:t xml:space="preserve"> </w:t>
            </w:r>
            <w:r>
              <w:rPr>
                <w:rFonts w:hint="eastAsia" w:ascii="Times New Roman" w:hAnsi="Times New Roman" w:eastAsia="宋体" w:cs="Times New Roman"/>
                <w:b/>
                <w:bCs/>
                <w:color w:val="auto"/>
                <w:kern w:val="2"/>
                <w:sz w:val="21"/>
                <w:szCs w:val="21"/>
                <w:lang w:val="en-US" w:eastAsia="zh-CN"/>
              </w:rPr>
              <w:t>辅料</w:t>
            </w:r>
            <w:r>
              <w:rPr>
                <w:rFonts w:hint="default" w:ascii="Times New Roman" w:hAnsi="Times New Roman" w:eastAsia="宋体" w:cs="Times New Roman"/>
                <w:b/>
                <w:bCs/>
                <w:color w:val="auto"/>
                <w:kern w:val="2"/>
                <w:sz w:val="21"/>
                <w:szCs w:val="21"/>
                <w:lang w:val="en-US" w:eastAsia="zh-CN"/>
              </w:rPr>
              <w:t>主要成分比</w:t>
            </w:r>
          </w:p>
          <w:tbl>
            <w:tblPr>
              <w:tblStyle w:val="19"/>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276"/>
              <w:gridCol w:w="4300"/>
              <w:gridCol w:w="1864"/>
            </w:tblGrid>
            <w:tr w14:paraId="6704A3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8" w:type="pct"/>
                  <w:tcBorders>
                    <w:tl2br w:val="nil"/>
                    <w:tr2bl w:val="nil"/>
                  </w:tcBorders>
                  <w:noWrap w:val="0"/>
                  <w:vAlign w:val="center"/>
                </w:tcPr>
                <w:p w14:paraId="330FF832">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bCs/>
                      <w:color w:val="000000"/>
                      <w:kern w:val="2"/>
                      <w:sz w:val="21"/>
                      <w:szCs w:val="21"/>
                    </w:rPr>
                  </w:pPr>
                  <w:r>
                    <w:rPr>
                      <w:rFonts w:hint="default" w:ascii="Times New Roman" w:hAnsi="Times New Roman" w:eastAsia="宋体" w:cs="Times New Roman"/>
                      <w:b/>
                      <w:bCs/>
                      <w:color w:val="000000"/>
                      <w:kern w:val="2"/>
                      <w:sz w:val="21"/>
                      <w:szCs w:val="21"/>
                    </w:rPr>
                    <w:t>名称</w:t>
                  </w:r>
                </w:p>
              </w:tc>
              <w:tc>
                <w:tcPr>
                  <w:tcW w:w="3089" w:type="pct"/>
                  <w:gridSpan w:val="2"/>
                  <w:tcBorders>
                    <w:tl2br w:val="nil"/>
                    <w:tr2bl w:val="nil"/>
                  </w:tcBorders>
                  <w:noWrap w:val="0"/>
                  <w:vAlign w:val="center"/>
                </w:tcPr>
                <w:p w14:paraId="05AEF9F0">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bCs/>
                      <w:color w:val="000000"/>
                      <w:kern w:val="2"/>
                      <w:sz w:val="21"/>
                      <w:szCs w:val="21"/>
                      <w:lang w:eastAsia="zh-CN"/>
                    </w:rPr>
                  </w:pPr>
                  <w:r>
                    <w:rPr>
                      <w:rFonts w:hint="default" w:ascii="Times New Roman" w:hAnsi="Times New Roman" w:eastAsia="宋体" w:cs="Times New Roman"/>
                      <w:b/>
                      <w:bCs/>
                      <w:color w:val="000000"/>
                      <w:kern w:val="2"/>
                      <w:sz w:val="21"/>
                      <w:szCs w:val="21"/>
                      <w:lang w:eastAsia="zh-CN"/>
                    </w:rPr>
                    <w:t>主要成分</w:t>
                  </w:r>
                </w:p>
              </w:tc>
              <w:tc>
                <w:tcPr>
                  <w:tcW w:w="1032" w:type="pct"/>
                  <w:tcBorders>
                    <w:tl2br w:val="nil"/>
                    <w:tr2bl w:val="nil"/>
                  </w:tcBorders>
                  <w:noWrap w:val="0"/>
                  <w:vAlign w:val="center"/>
                </w:tcPr>
                <w:p w14:paraId="35419407">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bCs/>
                      <w:color w:val="000000"/>
                      <w:kern w:val="2"/>
                      <w:sz w:val="21"/>
                      <w:szCs w:val="21"/>
                      <w:lang w:eastAsia="zh-CN"/>
                    </w:rPr>
                  </w:pPr>
                  <w:r>
                    <w:rPr>
                      <w:rFonts w:hint="default" w:ascii="Times New Roman" w:hAnsi="Times New Roman" w:eastAsia="宋体" w:cs="Times New Roman"/>
                      <w:b/>
                      <w:bCs/>
                      <w:color w:val="000000"/>
                      <w:kern w:val="2"/>
                      <w:sz w:val="21"/>
                      <w:szCs w:val="21"/>
                      <w:lang w:eastAsia="zh-CN"/>
                    </w:rPr>
                    <w:t>占比（</w:t>
                  </w:r>
                  <w:r>
                    <w:rPr>
                      <w:rFonts w:hint="default" w:ascii="Times New Roman" w:hAnsi="Times New Roman" w:eastAsia="宋体" w:cs="Times New Roman"/>
                      <w:b/>
                      <w:bCs/>
                      <w:color w:val="000000"/>
                      <w:kern w:val="2"/>
                      <w:sz w:val="21"/>
                      <w:szCs w:val="21"/>
                      <w:lang w:val="en-US" w:eastAsia="zh-CN"/>
                    </w:rPr>
                    <w:t>%</w:t>
                  </w:r>
                  <w:r>
                    <w:rPr>
                      <w:rFonts w:hint="default" w:ascii="Times New Roman" w:hAnsi="Times New Roman" w:eastAsia="宋体" w:cs="Times New Roman"/>
                      <w:b/>
                      <w:bCs/>
                      <w:color w:val="000000"/>
                      <w:kern w:val="2"/>
                      <w:sz w:val="21"/>
                      <w:szCs w:val="21"/>
                      <w:lang w:eastAsia="zh-CN"/>
                    </w:rPr>
                    <w:t>）</w:t>
                  </w:r>
                </w:p>
              </w:tc>
            </w:tr>
            <w:tr w14:paraId="78E444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8" w:type="pct"/>
                  <w:vMerge w:val="restart"/>
                  <w:tcBorders>
                    <w:tl2br w:val="nil"/>
                    <w:tr2bl w:val="nil"/>
                  </w:tcBorders>
                  <w:noWrap w:val="0"/>
                  <w:vAlign w:val="center"/>
                </w:tcPr>
                <w:p w14:paraId="2A5E0D51">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b w:val="0"/>
                      <w:bCs w:val="0"/>
                      <w:color w:val="000000"/>
                      <w:kern w:val="2"/>
                      <w:sz w:val="21"/>
                      <w:szCs w:val="21"/>
                      <w:lang w:val="en-US" w:eastAsia="zh-CN"/>
                    </w:rPr>
                    <w:t>水性丙烯酸压敏胶</w:t>
                  </w:r>
                </w:p>
              </w:tc>
              <w:tc>
                <w:tcPr>
                  <w:tcW w:w="3089" w:type="pct"/>
                  <w:gridSpan w:val="2"/>
                  <w:tcBorders>
                    <w:tl2br w:val="nil"/>
                    <w:tr2bl w:val="nil"/>
                  </w:tcBorders>
                  <w:noWrap w:val="0"/>
                  <w:vAlign w:val="center"/>
                </w:tcPr>
                <w:p w14:paraId="104A8501">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eastAsia="zh-CN"/>
                    </w:rPr>
                  </w:pPr>
                  <w:r>
                    <w:rPr>
                      <w:rFonts w:hint="default" w:ascii="Times New Roman" w:hAnsi="Times New Roman" w:eastAsia="宋体" w:cs="Times New Roman"/>
                      <w:color w:val="auto"/>
                      <w:kern w:val="2"/>
                      <w:sz w:val="21"/>
                      <w:szCs w:val="21"/>
                      <w:lang w:val="en-US" w:eastAsia="zh-CN" w:bidi="ar-SA"/>
                    </w:rPr>
                    <w:t>丙烯酸酯类聚合物（2-甲基-2-丙烯酸甲酯与2-丙烯酸丁酯、2-丙烯酸-2-乙基己酯和2-丙烯酸的聚合物）</w:t>
                  </w:r>
                </w:p>
              </w:tc>
              <w:tc>
                <w:tcPr>
                  <w:tcW w:w="1032" w:type="pct"/>
                  <w:tcBorders>
                    <w:tl2br w:val="nil"/>
                    <w:tr2bl w:val="nil"/>
                  </w:tcBorders>
                  <w:noWrap w:val="0"/>
                  <w:vAlign w:val="center"/>
                </w:tcPr>
                <w:p w14:paraId="3393C38F">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52%</w:t>
                  </w:r>
                </w:p>
              </w:tc>
            </w:tr>
            <w:tr w14:paraId="3D4EC2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8" w:type="pct"/>
                  <w:vMerge w:val="continue"/>
                  <w:tcBorders>
                    <w:tl2br w:val="nil"/>
                    <w:tr2bl w:val="nil"/>
                  </w:tcBorders>
                  <w:noWrap w:val="0"/>
                  <w:vAlign w:val="center"/>
                </w:tcPr>
                <w:p w14:paraId="4C733DC5">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rPr>
                  </w:pPr>
                </w:p>
              </w:tc>
              <w:tc>
                <w:tcPr>
                  <w:tcW w:w="3089" w:type="pct"/>
                  <w:gridSpan w:val="2"/>
                  <w:tcBorders>
                    <w:tl2br w:val="nil"/>
                    <w:tr2bl w:val="nil"/>
                  </w:tcBorders>
                  <w:noWrap w:val="0"/>
                  <w:vAlign w:val="center"/>
                </w:tcPr>
                <w:p w14:paraId="190ACC17">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去离子水</w:t>
                  </w:r>
                </w:p>
              </w:tc>
              <w:tc>
                <w:tcPr>
                  <w:tcW w:w="1032" w:type="pct"/>
                  <w:tcBorders>
                    <w:tl2br w:val="nil"/>
                    <w:tr2bl w:val="nil"/>
                  </w:tcBorders>
                  <w:noWrap w:val="0"/>
                  <w:vAlign w:val="center"/>
                </w:tcPr>
                <w:p w14:paraId="723E9797">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45%</w:t>
                  </w:r>
                </w:p>
              </w:tc>
            </w:tr>
            <w:tr w14:paraId="2A666D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8" w:type="pct"/>
                  <w:vMerge w:val="continue"/>
                  <w:tcBorders>
                    <w:tl2br w:val="nil"/>
                    <w:tr2bl w:val="nil"/>
                  </w:tcBorders>
                  <w:noWrap w:val="0"/>
                  <w:vAlign w:val="center"/>
                </w:tcPr>
                <w:p w14:paraId="56474260">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rPr>
                  </w:pPr>
                </w:p>
              </w:tc>
              <w:tc>
                <w:tcPr>
                  <w:tcW w:w="3089" w:type="pct"/>
                  <w:gridSpan w:val="2"/>
                  <w:tcBorders>
                    <w:tl2br w:val="nil"/>
                    <w:tr2bl w:val="nil"/>
                  </w:tcBorders>
                  <w:noWrap w:val="0"/>
                  <w:vAlign w:val="center"/>
                </w:tcPr>
                <w:p w14:paraId="1AED0408">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助剂</w:t>
                  </w:r>
                </w:p>
              </w:tc>
              <w:tc>
                <w:tcPr>
                  <w:tcW w:w="1032" w:type="pct"/>
                  <w:tcBorders>
                    <w:tl2br w:val="nil"/>
                    <w:tr2bl w:val="nil"/>
                  </w:tcBorders>
                  <w:noWrap w:val="0"/>
                  <w:vAlign w:val="center"/>
                </w:tcPr>
                <w:p w14:paraId="465AB4DE">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3%</w:t>
                  </w:r>
                </w:p>
              </w:tc>
            </w:tr>
            <w:tr w14:paraId="50D23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8" w:type="pct"/>
                  <w:vMerge w:val="restart"/>
                  <w:tcBorders>
                    <w:tl2br w:val="nil"/>
                    <w:tr2bl w:val="nil"/>
                  </w:tcBorders>
                  <w:noWrap w:val="0"/>
                  <w:vAlign w:val="center"/>
                </w:tcPr>
                <w:p w14:paraId="24557F0D">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bidi="ar-SA"/>
                    </w:rPr>
                    <w:t>水性油墨</w:t>
                  </w:r>
                </w:p>
              </w:tc>
              <w:tc>
                <w:tcPr>
                  <w:tcW w:w="3089" w:type="pct"/>
                  <w:gridSpan w:val="2"/>
                  <w:tcBorders>
                    <w:tl2br w:val="nil"/>
                    <w:tr2bl w:val="nil"/>
                  </w:tcBorders>
                  <w:noWrap w:val="0"/>
                  <w:vAlign w:val="center"/>
                </w:tcPr>
                <w:p w14:paraId="1EF4B0D2">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树脂（水性聚氨酯聚合物）</w:t>
                  </w:r>
                </w:p>
              </w:tc>
              <w:tc>
                <w:tcPr>
                  <w:tcW w:w="1032" w:type="pct"/>
                  <w:tcBorders>
                    <w:tl2br w:val="nil"/>
                    <w:tr2bl w:val="nil"/>
                  </w:tcBorders>
                  <w:noWrap w:val="0"/>
                  <w:vAlign w:val="center"/>
                </w:tcPr>
                <w:p w14:paraId="0F46991B">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25-30%</w:t>
                  </w:r>
                </w:p>
              </w:tc>
            </w:tr>
            <w:tr w14:paraId="2A9C16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8" w:type="pct"/>
                  <w:vMerge w:val="continue"/>
                  <w:tcBorders>
                    <w:tl2br w:val="nil"/>
                    <w:tr2bl w:val="nil"/>
                  </w:tcBorders>
                  <w:noWrap w:val="0"/>
                  <w:vAlign w:val="center"/>
                </w:tcPr>
                <w:p w14:paraId="724D7947">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rPr>
                  </w:pPr>
                </w:p>
              </w:tc>
              <w:tc>
                <w:tcPr>
                  <w:tcW w:w="707" w:type="pct"/>
                  <w:vMerge w:val="restart"/>
                  <w:tcBorders>
                    <w:tl2br w:val="nil"/>
                    <w:tr2bl w:val="nil"/>
                  </w:tcBorders>
                  <w:noWrap w:val="0"/>
                  <w:vAlign w:val="center"/>
                </w:tcPr>
                <w:p w14:paraId="1D41D552">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颜料</w:t>
                  </w:r>
                </w:p>
              </w:tc>
              <w:tc>
                <w:tcPr>
                  <w:tcW w:w="2382" w:type="pct"/>
                  <w:tcBorders>
                    <w:tl2br w:val="nil"/>
                    <w:tr2bl w:val="nil"/>
                  </w:tcBorders>
                  <w:noWrap w:val="0"/>
                  <w:vAlign w:val="center"/>
                </w:tcPr>
                <w:p w14:paraId="011DBADF">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有机颜料（红、黄、蓝等）</w:t>
                  </w:r>
                </w:p>
              </w:tc>
              <w:tc>
                <w:tcPr>
                  <w:tcW w:w="1032" w:type="pct"/>
                  <w:tcBorders>
                    <w:tl2br w:val="nil"/>
                    <w:tr2bl w:val="nil"/>
                  </w:tcBorders>
                  <w:noWrap w:val="0"/>
                  <w:vAlign w:val="center"/>
                </w:tcPr>
                <w:p w14:paraId="76E48EA1">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5-10%</w:t>
                  </w:r>
                </w:p>
              </w:tc>
            </w:tr>
            <w:tr w14:paraId="2203FE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8" w:type="pct"/>
                  <w:vMerge w:val="continue"/>
                  <w:tcBorders>
                    <w:tl2br w:val="nil"/>
                    <w:tr2bl w:val="nil"/>
                  </w:tcBorders>
                  <w:noWrap w:val="0"/>
                  <w:vAlign w:val="center"/>
                </w:tcPr>
                <w:p w14:paraId="49318E50">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rPr>
                  </w:pPr>
                </w:p>
              </w:tc>
              <w:tc>
                <w:tcPr>
                  <w:tcW w:w="707" w:type="pct"/>
                  <w:vMerge w:val="continue"/>
                  <w:tcBorders>
                    <w:tl2br w:val="nil"/>
                    <w:tr2bl w:val="nil"/>
                  </w:tcBorders>
                  <w:noWrap w:val="0"/>
                  <w:vAlign w:val="center"/>
                </w:tcPr>
                <w:p w14:paraId="1D6C420D">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lang w:val="en-US" w:eastAsia="zh-CN"/>
                    </w:rPr>
                  </w:pPr>
                </w:p>
              </w:tc>
              <w:tc>
                <w:tcPr>
                  <w:tcW w:w="2382" w:type="pct"/>
                  <w:tcBorders>
                    <w:tl2br w:val="nil"/>
                    <w:tr2bl w:val="nil"/>
                  </w:tcBorders>
                  <w:noWrap w:val="0"/>
                  <w:vAlign w:val="center"/>
                </w:tcPr>
                <w:p w14:paraId="33474665">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无机颜料（白、黑等）</w:t>
                  </w:r>
                </w:p>
              </w:tc>
              <w:tc>
                <w:tcPr>
                  <w:tcW w:w="1032" w:type="pct"/>
                  <w:tcBorders>
                    <w:tl2br w:val="nil"/>
                    <w:tr2bl w:val="nil"/>
                  </w:tcBorders>
                  <w:noWrap w:val="0"/>
                  <w:vAlign w:val="center"/>
                </w:tcPr>
                <w:p w14:paraId="2E461FC8">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10-30%</w:t>
                  </w:r>
                </w:p>
              </w:tc>
            </w:tr>
            <w:tr w14:paraId="5A4CAC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8" w:type="pct"/>
                  <w:vMerge w:val="continue"/>
                  <w:tcBorders>
                    <w:tl2br w:val="nil"/>
                    <w:tr2bl w:val="nil"/>
                  </w:tcBorders>
                  <w:noWrap w:val="0"/>
                  <w:vAlign w:val="center"/>
                </w:tcPr>
                <w:p w14:paraId="432013A9">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rPr>
                  </w:pPr>
                </w:p>
              </w:tc>
              <w:tc>
                <w:tcPr>
                  <w:tcW w:w="3089" w:type="pct"/>
                  <w:gridSpan w:val="2"/>
                  <w:tcBorders>
                    <w:tl2br w:val="nil"/>
                    <w:tr2bl w:val="nil"/>
                  </w:tcBorders>
                  <w:noWrap w:val="0"/>
                  <w:vAlign w:val="center"/>
                </w:tcPr>
                <w:p w14:paraId="2DECB5B2">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pH调节剂</w:t>
                  </w:r>
                </w:p>
              </w:tc>
              <w:tc>
                <w:tcPr>
                  <w:tcW w:w="1032" w:type="pct"/>
                  <w:tcBorders>
                    <w:tl2br w:val="nil"/>
                    <w:tr2bl w:val="nil"/>
                  </w:tcBorders>
                  <w:noWrap w:val="0"/>
                  <w:vAlign w:val="center"/>
                </w:tcPr>
                <w:p w14:paraId="1AF76213">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30-50%</w:t>
                  </w:r>
                </w:p>
              </w:tc>
            </w:tr>
            <w:tr w14:paraId="6A7EB4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8" w:type="pct"/>
                  <w:vMerge w:val="continue"/>
                  <w:tcBorders>
                    <w:tl2br w:val="nil"/>
                    <w:tr2bl w:val="nil"/>
                  </w:tcBorders>
                  <w:noWrap w:val="0"/>
                  <w:vAlign w:val="center"/>
                </w:tcPr>
                <w:p w14:paraId="40F1FCF5">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lang w:val="en-US" w:eastAsia="zh-CN"/>
                    </w:rPr>
                  </w:pPr>
                </w:p>
              </w:tc>
              <w:tc>
                <w:tcPr>
                  <w:tcW w:w="3089" w:type="pct"/>
                  <w:gridSpan w:val="2"/>
                  <w:tcBorders>
                    <w:tl2br w:val="nil"/>
                    <w:tr2bl w:val="nil"/>
                  </w:tcBorders>
                  <w:noWrap w:val="0"/>
                  <w:vAlign w:val="center"/>
                </w:tcPr>
                <w:p w14:paraId="00086C9F">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助剂</w:t>
                  </w:r>
                </w:p>
              </w:tc>
              <w:tc>
                <w:tcPr>
                  <w:tcW w:w="1032" w:type="pct"/>
                  <w:tcBorders>
                    <w:tl2br w:val="nil"/>
                    <w:tr2bl w:val="nil"/>
                  </w:tcBorders>
                  <w:noWrap w:val="0"/>
                  <w:vAlign w:val="center"/>
                </w:tcPr>
                <w:p w14:paraId="16F70C1A">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20-30%</w:t>
                  </w:r>
                </w:p>
              </w:tc>
            </w:tr>
            <w:tr w14:paraId="22DC63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8" w:type="pct"/>
                  <w:vMerge w:val="continue"/>
                  <w:tcBorders>
                    <w:tl2br w:val="nil"/>
                    <w:tr2bl w:val="nil"/>
                  </w:tcBorders>
                  <w:noWrap w:val="0"/>
                  <w:vAlign w:val="center"/>
                </w:tcPr>
                <w:p w14:paraId="3445FDBB">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rPr>
                  </w:pPr>
                </w:p>
              </w:tc>
              <w:tc>
                <w:tcPr>
                  <w:tcW w:w="3089" w:type="pct"/>
                  <w:gridSpan w:val="2"/>
                  <w:tcBorders>
                    <w:tl2br w:val="nil"/>
                    <w:tr2bl w:val="nil"/>
                  </w:tcBorders>
                  <w:noWrap w:val="0"/>
                  <w:vAlign w:val="center"/>
                </w:tcPr>
                <w:p w14:paraId="256DD2BD">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溶剂</w:t>
                  </w:r>
                </w:p>
              </w:tc>
              <w:tc>
                <w:tcPr>
                  <w:tcW w:w="1032" w:type="pct"/>
                  <w:tcBorders>
                    <w:tl2br w:val="nil"/>
                    <w:tr2bl w:val="nil"/>
                  </w:tcBorders>
                  <w:noWrap w:val="0"/>
                  <w:vAlign w:val="center"/>
                </w:tcPr>
                <w:p w14:paraId="56D643B5">
                  <w:pPr>
                    <w:widowControl w:val="0"/>
                    <w:autoSpaceDE w:val="0"/>
                    <w:autoSpaceDN w:val="0"/>
                    <w:spacing w:after="0" w:afterLines="-2147483648" w:line="240" w:lineRule="auto"/>
                    <w:ind w:firstLine="0" w:firstLineChars="0"/>
                    <w:jc w:val="center"/>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2"/>
                      <w:sz w:val="21"/>
                      <w:szCs w:val="21"/>
                      <w:lang w:val="en-US" w:eastAsia="zh-CN"/>
                    </w:rPr>
                    <w:t>3-8%</w:t>
                  </w:r>
                </w:p>
              </w:tc>
            </w:tr>
            <w:tr w14:paraId="26527E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78" w:type="pct"/>
                  <w:tcBorders>
                    <w:tl2br w:val="nil"/>
                    <w:tr2bl w:val="nil"/>
                  </w:tcBorders>
                  <w:noWrap w:val="0"/>
                  <w:vAlign w:val="center"/>
                </w:tcPr>
                <w:p w14:paraId="2C490AF3">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0"/>
                      <w:sz w:val="21"/>
                      <w:szCs w:val="21"/>
                      <w:highlight w:val="none"/>
                      <w:lang w:val="en-US" w:eastAsia="zh-CN"/>
                    </w:rPr>
                    <w:t>固化剂</w:t>
                  </w:r>
                </w:p>
              </w:tc>
              <w:tc>
                <w:tcPr>
                  <w:tcW w:w="3089" w:type="pct"/>
                  <w:gridSpan w:val="2"/>
                  <w:tcBorders>
                    <w:tl2br w:val="nil"/>
                    <w:tr2bl w:val="nil"/>
                  </w:tcBorders>
                  <w:noWrap w:val="0"/>
                  <w:vAlign w:val="center"/>
                </w:tcPr>
                <w:p w14:paraId="6EB57F25">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color w:val="auto"/>
                      <w:kern w:val="0"/>
                      <w:sz w:val="21"/>
                      <w:szCs w:val="21"/>
                      <w:highlight w:val="none"/>
                      <w:lang w:val="en-US" w:eastAsia="zh-CN"/>
                    </w:rPr>
                    <w:t>三羟甲基丙烷三（3-丙烯亚胺基)丙酸酯</w:t>
                  </w:r>
                </w:p>
              </w:tc>
              <w:tc>
                <w:tcPr>
                  <w:tcW w:w="1032" w:type="pct"/>
                  <w:tcBorders>
                    <w:tl2br w:val="nil"/>
                    <w:tr2bl w:val="nil"/>
                  </w:tcBorders>
                  <w:noWrap w:val="0"/>
                  <w:vAlign w:val="center"/>
                </w:tcPr>
                <w:p w14:paraId="704B4773">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b w:val="0"/>
                      <w:bCs w:val="0"/>
                      <w:color w:val="000000"/>
                      <w:kern w:val="2"/>
                      <w:sz w:val="21"/>
                      <w:szCs w:val="21"/>
                      <w:lang w:val="en-US" w:eastAsia="zh-CN"/>
                    </w:rPr>
                    <w:t>/</w:t>
                  </w:r>
                </w:p>
              </w:tc>
            </w:tr>
          </w:tbl>
          <w:p w14:paraId="5D7A61AE">
            <w:pPr>
              <w:pStyle w:val="33"/>
              <w:keepNext w:val="0"/>
              <w:keepLines w:val="0"/>
              <w:pageBreakBefore w:val="0"/>
              <w:kinsoku/>
              <w:wordWrap/>
              <w:overflowPunct/>
              <w:topLinePunct w:val="0"/>
              <w:autoSpaceDE/>
              <w:autoSpaceDN/>
              <w:bidi w:val="0"/>
              <w:adjustRightInd w:val="0"/>
              <w:spacing w:line="360" w:lineRule="auto"/>
              <w:ind w:firstLine="480" w:firstLineChars="200"/>
              <w:jc w:val="both"/>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2.2.2项目水平衡</w:t>
            </w:r>
          </w:p>
          <w:p w14:paraId="2952150B">
            <w:pPr>
              <w:pStyle w:val="33"/>
              <w:keepNext w:val="0"/>
              <w:keepLines w:val="0"/>
              <w:pageBreakBefore w:val="0"/>
              <w:kinsoku/>
              <w:wordWrap/>
              <w:overflowPunct/>
              <w:topLinePunct w:val="0"/>
              <w:autoSpaceDE/>
              <w:autoSpaceDN/>
              <w:bidi w:val="0"/>
              <w:adjustRightInd w:val="0"/>
              <w:spacing w:line="360" w:lineRule="auto"/>
              <w:ind w:firstLine="480" w:firstLineChars="200"/>
              <w:jc w:val="both"/>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根据现场调查，验收监测期间，项目员工为</w:t>
            </w:r>
            <w:r>
              <w:rPr>
                <w:rFonts w:hint="eastAsia" w:eastAsia="宋体" w:cs="Times New Roman"/>
                <w:color w:val="auto"/>
                <w:sz w:val="24"/>
                <w:szCs w:val="24"/>
                <w:lang w:val="en-US" w:eastAsia="zh-CN"/>
              </w:rPr>
              <w:t>25</w:t>
            </w:r>
            <w:r>
              <w:rPr>
                <w:rFonts w:hint="eastAsia" w:ascii="Times New Roman" w:hAnsi="Times New Roman" w:eastAsia="宋体" w:cs="Times New Roman"/>
                <w:color w:val="auto"/>
                <w:sz w:val="24"/>
                <w:szCs w:val="24"/>
                <w:lang w:val="en-US" w:eastAsia="zh-CN"/>
              </w:rPr>
              <w:t>人，</w:t>
            </w:r>
            <w:r>
              <w:rPr>
                <w:rFonts w:hint="eastAsia" w:eastAsia="宋体" w:cs="Times New Roman"/>
                <w:color w:val="auto"/>
                <w:sz w:val="24"/>
                <w:szCs w:val="24"/>
                <w:lang w:val="en-US" w:eastAsia="zh-CN"/>
              </w:rPr>
              <w:t>单</w:t>
            </w:r>
            <w:r>
              <w:rPr>
                <w:rFonts w:hint="eastAsia" w:ascii="Times New Roman" w:hAnsi="Times New Roman" w:eastAsia="宋体" w:cs="Times New Roman"/>
                <w:color w:val="auto"/>
                <w:sz w:val="24"/>
                <w:szCs w:val="24"/>
                <w:lang w:val="en-US" w:eastAsia="zh-CN"/>
              </w:rPr>
              <w:t>班制</w:t>
            </w:r>
            <w:r>
              <w:rPr>
                <w:rFonts w:hint="eastAsia" w:eastAsia="宋体" w:cs="Times New Roman"/>
                <w:color w:val="auto"/>
                <w:sz w:val="24"/>
                <w:szCs w:val="24"/>
                <w:lang w:val="en-US" w:eastAsia="zh-CN"/>
              </w:rPr>
              <w:t>，每班</w:t>
            </w:r>
            <w:r>
              <w:rPr>
                <w:rFonts w:hint="eastAsia" w:ascii="Times New Roman" w:hAnsi="Times New Roman" w:eastAsia="宋体" w:cs="Times New Roman"/>
                <w:color w:val="auto"/>
                <w:sz w:val="24"/>
                <w:szCs w:val="24"/>
                <w:lang w:val="en-US" w:eastAsia="zh-CN"/>
              </w:rPr>
              <w:t>8小时，年产300天。</w:t>
            </w:r>
            <w:r>
              <w:rPr>
                <w:rFonts w:hint="eastAsia" w:eastAsia="宋体" w:cs="Times New Roman"/>
                <w:color w:val="auto"/>
                <w:sz w:val="24"/>
                <w:szCs w:val="24"/>
                <w:lang w:val="en-US" w:eastAsia="zh-CN"/>
              </w:rPr>
              <w:t>验收监测期间全场水平衡图见图2-1。</w:t>
            </w:r>
            <w:r>
              <w:rPr>
                <w:rFonts w:hint="eastAsia" w:ascii="Times New Roman" w:hAnsi="Times New Roman" w:eastAsia="宋体" w:cs="Times New Roman"/>
                <w:color w:val="auto"/>
                <w:sz w:val="24"/>
                <w:szCs w:val="24"/>
                <w:lang w:val="en-US" w:eastAsia="zh-CN"/>
              </w:rPr>
              <w:t>项目</w:t>
            </w:r>
            <w:r>
              <w:rPr>
                <w:rFonts w:hint="eastAsia" w:eastAsia="宋体" w:cs="Times New Roman"/>
                <w:color w:val="auto"/>
                <w:sz w:val="24"/>
                <w:szCs w:val="24"/>
                <w:lang w:val="en-US" w:eastAsia="zh-CN"/>
              </w:rPr>
              <w:t>食堂未建设，不在本次验收范围内，故未将餐饮用水纳入水平衡计算</w:t>
            </w:r>
            <w:r>
              <w:rPr>
                <w:rFonts w:hint="eastAsia" w:ascii="Times New Roman" w:hAnsi="Times New Roman" w:eastAsia="宋体" w:cs="Times New Roman"/>
                <w:color w:val="auto"/>
                <w:sz w:val="24"/>
                <w:szCs w:val="24"/>
                <w:lang w:val="en-US" w:eastAsia="zh-CN"/>
              </w:rPr>
              <w:t>。</w:t>
            </w:r>
          </w:p>
          <w:p w14:paraId="5FF269DF">
            <w:pPr>
              <w:pStyle w:val="10"/>
              <w:ind w:firstLine="480"/>
              <w:rPr>
                <w:rFonts w:hint="eastAsia" w:ascii="Times New Roman" w:hAnsi="Times New Roman" w:eastAsia="宋体" w:cs="Times New Roman"/>
                <w:color w:val="auto"/>
                <w:sz w:val="24"/>
                <w:szCs w:val="24"/>
                <w:lang w:val="en-US" w:eastAsia="zh-CN" w:bidi="ar-SA"/>
              </w:rPr>
            </w:pPr>
            <w:r>
              <w:rPr>
                <w:rFonts w:hint="eastAsia" w:ascii="Times New Roman" w:hAnsi="Times New Roman" w:eastAsia="宋体" w:cs="Times New Roman"/>
                <w:color w:val="auto"/>
                <w:sz w:val="24"/>
                <w:szCs w:val="24"/>
                <w:lang w:val="en-US" w:eastAsia="zh-CN" w:bidi="ar-SA"/>
              </w:rPr>
              <w:t>项目验收期间实际用排水平衡图如下：</w:t>
            </w:r>
          </w:p>
          <w:p w14:paraId="3791C450">
            <w:pPr>
              <w:pStyle w:val="10"/>
              <w:jc w:val="both"/>
              <w:rPr>
                <w:rFonts w:hint="eastAsia" w:ascii="Times New Roman" w:hAnsi="Times New Roman" w:eastAsia="宋体" w:cs="Times New Roman"/>
                <w:color w:val="FF0000"/>
                <w:sz w:val="24"/>
                <w:szCs w:val="24"/>
                <w:lang w:val="en-US" w:eastAsia="zh-CN" w:bidi="ar-SA"/>
              </w:rPr>
            </w:pPr>
            <w:r>
              <w:rPr>
                <w:rFonts w:hint="eastAsia" w:ascii="Times New Roman" w:hAnsi="Times New Roman" w:eastAsia="宋体" w:cs="Times New Roman"/>
                <w:color w:val="FF0000"/>
                <w:sz w:val="24"/>
                <w:szCs w:val="24"/>
                <w:lang w:val="en-US" w:eastAsia="zh-CN" w:bidi="ar-SA"/>
              </w:rPr>
              <w:object>
                <v:shape id="_x0000_i1025" o:spt="75" type="#_x0000_t75" style="height:151.25pt;width:415.5pt;" o:ole="t" filled="f" o:preferrelative="t" stroked="f" coordsize="21600,21600">
                  <v:path/>
                  <v:fill on="f" focussize="0,0"/>
                  <v:stroke on="f"/>
                  <v:imagedata r:id="rId19" croptop="1771f" o:title=""/>
                  <o:lock v:ext="edit" aspectratio="f"/>
                  <w10:wrap type="none"/>
                  <w10:anchorlock/>
                </v:shape>
                <o:OLEObject Type="Embed" ProgID="Visio.Drawing.15" ShapeID="_x0000_i1025" DrawAspect="Content" ObjectID="_1468075725" r:id="rId18">
                  <o:LockedField>false</o:LockedField>
                </o:OLEObject>
              </w:object>
            </w:r>
          </w:p>
          <w:p w14:paraId="5DE6C09C">
            <w:pPr>
              <w:pStyle w:val="10"/>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 w:val="24"/>
                <w:szCs w:val="24"/>
                <w:lang w:val="en-US" w:eastAsia="zh-CN" w:bidi="ar-SA"/>
              </w:rPr>
            </w:pPr>
            <w:r>
              <w:rPr>
                <w:rFonts w:hint="default" w:ascii="Times New Roman" w:hAnsi="Times New Roman" w:eastAsia="宋体" w:cs="Times New Roman"/>
                <w:b/>
                <w:bCs/>
                <w:color w:val="000000" w:themeColor="text1"/>
                <w:spacing w:val="0"/>
                <w:sz w:val="21"/>
                <w:szCs w:val="21"/>
                <w:lang w:eastAsia="zh-CN"/>
                <w14:textFill>
                  <w14:solidFill>
                    <w14:schemeClr w14:val="tx1"/>
                  </w14:solidFill>
                </w14:textFill>
              </w:rPr>
              <w:t>图</w:t>
            </w:r>
            <w:r>
              <w:rPr>
                <w:rFonts w:hint="default" w:ascii="Times New Roman" w:hAnsi="Times New Roman" w:eastAsia="宋体" w:cs="Times New Roman"/>
                <w:b/>
                <w:bCs/>
                <w:color w:val="000000" w:themeColor="text1"/>
                <w:spacing w:val="0"/>
                <w:sz w:val="21"/>
                <w:szCs w:val="21"/>
                <w:lang w:val="en-US" w:eastAsia="zh-CN"/>
                <w14:textFill>
                  <w14:solidFill>
                    <w14:schemeClr w14:val="tx1"/>
                  </w14:solidFill>
                </w14:textFill>
              </w:rPr>
              <w:t xml:space="preserve">2-1 </w:t>
            </w:r>
            <w:r>
              <w:rPr>
                <w:rFonts w:hint="eastAsia" w:ascii="Times New Roman" w:hAnsi="Times New Roman" w:eastAsia="宋体" w:cs="Times New Roman"/>
                <w:b/>
                <w:bCs/>
                <w:color w:val="000000" w:themeColor="text1"/>
                <w:spacing w:val="0"/>
                <w:sz w:val="21"/>
                <w:szCs w:val="21"/>
                <w:lang w:val="en-US" w:eastAsia="zh-CN"/>
                <w14:textFill>
                  <w14:solidFill>
                    <w14:schemeClr w14:val="tx1"/>
                  </w14:solidFill>
                </w14:textFill>
              </w:rPr>
              <w:t>项目实际</w:t>
            </w:r>
            <w:r>
              <w:rPr>
                <w:rFonts w:hint="default" w:ascii="Times New Roman" w:hAnsi="Times New Roman" w:eastAsia="宋体" w:cs="Times New Roman"/>
                <w:b/>
                <w:bCs/>
                <w:color w:val="000000" w:themeColor="text1"/>
                <w:spacing w:val="0"/>
                <w:sz w:val="21"/>
                <w:szCs w:val="21"/>
                <w:lang w:val="en-US" w:eastAsia="zh-CN"/>
                <w14:textFill>
                  <w14:solidFill>
                    <w14:schemeClr w14:val="tx1"/>
                  </w14:solidFill>
                </w14:textFill>
              </w:rPr>
              <w:t>用排水平衡图（</w:t>
            </w:r>
            <w:r>
              <w:rPr>
                <w:rFonts w:hint="eastAsia" w:ascii="Times New Roman" w:hAnsi="Times New Roman" w:eastAsia="宋体" w:cs="Times New Roman"/>
                <w:b/>
                <w:bCs/>
                <w:color w:val="000000" w:themeColor="text1"/>
                <w:spacing w:val="0"/>
                <w:sz w:val="21"/>
                <w:szCs w:val="21"/>
                <w:lang w:val="en-US" w:eastAsia="zh-CN"/>
                <w14:textFill>
                  <w14:solidFill>
                    <w14:schemeClr w14:val="tx1"/>
                  </w14:solidFill>
                </w14:textFill>
              </w:rPr>
              <w:t>t</w:t>
            </w:r>
            <w:r>
              <w:rPr>
                <w:rFonts w:hint="default" w:ascii="Times New Roman" w:hAnsi="Times New Roman" w:eastAsia="宋体" w:cs="Times New Roman"/>
                <w:b/>
                <w:bCs/>
                <w:color w:val="000000" w:themeColor="text1"/>
                <w:spacing w:val="0"/>
                <w:sz w:val="21"/>
                <w:szCs w:val="21"/>
                <w:lang w:val="en-US" w:eastAsia="zh-CN"/>
                <w14:textFill>
                  <w14:solidFill>
                    <w14:schemeClr w14:val="tx1"/>
                  </w14:solidFill>
                </w14:textFill>
              </w:rPr>
              <w:t>/d）</w:t>
            </w:r>
          </w:p>
          <w:p w14:paraId="12AC6205">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b/>
                <w:bCs/>
                <w:color w:val="auto"/>
                <w:sz w:val="24"/>
                <w:szCs w:val="24"/>
                <w:lang w:val="en-US" w:eastAsia="zh-CN" w:bidi="ar-SA"/>
              </w:rPr>
            </w:pPr>
            <w:r>
              <w:rPr>
                <w:rFonts w:hint="default" w:ascii="Times New Roman" w:hAnsi="Times New Roman" w:eastAsia="宋体" w:cs="Times New Roman"/>
                <w:b/>
                <w:bCs/>
                <w:color w:val="auto"/>
                <w:sz w:val="24"/>
                <w:szCs w:val="24"/>
                <w:lang w:val="en-US" w:eastAsia="zh-CN" w:bidi="ar-SA"/>
              </w:rPr>
              <w:t>2.3主要工艺流程及产污环节（附处理工艺流程图，标出产污节点）</w:t>
            </w:r>
          </w:p>
          <w:p w14:paraId="561D34B9">
            <w:pPr>
              <w:pStyle w:val="10"/>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hint="default" w:ascii="Times New Roman" w:hAnsi="Times New Roman" w:eastAsia="宋体" w:cs="Times New Roman"/>
                <w:b w:val="0"/>
                <w:bCs w:val="0"/>
                <w:color w:val="auto"/>
                <w:sz w:val="24"/>
                <w:szCs w:val="24"/>
                <w:lang w:val="en-US" w:eastAsia="zh-CN" w:bidi="ar-SA"/>
              </w:rPr>
            </w:pPr>
            <w:r>
              <w:rPr>
                <w:rFonts w:hint="default" w:ascii="Times New Roman" w:hAnsi="Times New Roman" w:eastAsia="宋体" w:cs="Times New Roman"/>
                <w:b w:val="0"/>
                <w:bCs w:val="0"/>
                <w:color w:val="auto"/>
                <w:sz w:val="24"/>
                <w:szCs w:val="24"/>
                <w:lang w:val="en-US" w:eastAsia="zh-CN" w:bidi="ar-SA"/>
              </w:rPr>
              <w:t>2.3.1主要工艺流程图</w:t>
            </w:r>
          </w:p>
          <w:p w14:paraId="750E5631">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w:t>
            </w:r>
            <w:r>
              <w:rPr>
                <w:rFonts w:hint="eastAsia" w:ascii="Times New Roman" w:hAnsi="Times New Roman" w:eastAsia="宋体" w:cs="Times New Roman"/>
                <w:color w:val="auto"/>
                <w:sz w:val="24"/>
                <w:highlight w:val="none"/>
                <w:lang w:val="en-US" w:eastAsia="zh-CN"/>
              </w:rPr>
              <w:t>（现阶段）已建成年产4000万平方米PVC保护膜生产规模，主要生产工艺流程如下：</w:t>
            </w:r>
          </w:p>
          <w:p w14:paraId="75970706">
            <w:pPr>
              <w:keepNext w:val="0"/>
              <w:keepLines w:val="0"/>
              <w:pageBreakBefore w:val="0"/>
              <w:widowControl/>
              <w:kinsoku/>
              <w:wordWrap/>
              <w:overflowPunct/>
              <w:topLinePunct w:val="0"/>
              <w:autoSpaceDE/>
              <w:autoSpaceDN/>
              <w:bidi w:val="0"/>
              <w:adjustRightInd w:val="0"/>
              <w:snapToGrid w:val="0"/>
              <w:spacing w:after="0" w:line="360" w:lineRule="auto"/>
              <w:ind w:firstLine="440" w:firstLineChars="200"/>
              <w:jc w:val="center"/>
              <w:textAlignment w:val="auto"/>
              <w:rPr>
                <w:color w:val="auto"/>
              </w:rPr>
            </w:pPr>
            <w:r>
              <w:rPr>
                <w:rFonts w:hint="eastAsia" w:eastAsia="宋体"/>
                <w:color w:val="auto"/>
                <w:lang w:eastAsia="zh-CN"/>
              </w:rPr>
              <w:drawing>
                <wp:inline distT="0" distB="0" distL="114300" distR="114300">
                  <wp:extent cx="4877435" cy="4888865"/>
                  <wp:effectExtent l="0" t="0" r="18415" b="6985"/>
                  <wp:docPr id="5" name="图片 5" descr="175334442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53344422313"/>
                          <pic:cNvPicPr>
                            <a:picLocks noChangeAspect="1"/>
                          </pic:cNvPicPr>
                        </pic:nvPicPr>
                        <pic:blipFill>
                          <a:blip r:embed="rId20"/>
                          <a:srcRect t="7573" b="4281"/>
                          <a:stretch>
                            <a:fillRect/>
                          </a:stretch>
                        </pic:blipFill>
                        <pic:spPr>
                          <a:xfrm>
                            <a:off x="0" y="0"/>
                            <a:ext cx="4877435" cy="4888865"/>
                          </a:xfrm>
                          <a:prstGeom prst="rect">
                            <a:avLst/>
                          </a:prstGeom>
                        </pic:spPr>
                      </pic:pic>
                    </a:graphicData>
                  </a:graphic>
                </wp:inline>
              </w:drawing>
            </w:r>
          </w:p>
          <w:p w14:paraId="647E16A3">
            <w:pPr>
              <w:keepNext w:val="0"/>
              <w:keepLines w:val="0"/>
              <w:pageBreakBefore w:val="0"/>
              <w:widowControl/>
              <w:kinsoku/>
              <w:wordWrap/>
              <w:overflowPunct/>
              <w:topLinePunct w:val="0"/>
              <w:autoSpaceDE/>
              <w:autoSpaceDN/>
              <w:bidi w:val="0"/>
              <w:adjustRightInd w:val="0"/>
              <w:snapToGrid w:val="0"/>
              <w:spacing w:after="0" w:line="360" w:lineRule="auto"/>
              <w:ind w:firstLine="422" w:firstLineChars="20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eastAsia="zh-CN"/>
              </w:rPr>
              <w:t>图</w:t>
            </w:r>
            <w:r>
              <w:rPr>
                <w:rFonts w:hint="default" w:ascii="Times New Roman" w:hAnsi="Times New Roman" w:eastAsia="宋体" w:cs="Times New Roman"/>
                <w:b/>
                <w:bCs/>
                <w:color w:val="auto"/>
                <w:sz w:val="21"/>
                <w:szCs w:val="21"/>
                <w:lang w:val="en-US" w:eastAsia="zh-CN"/>
              </w:rPr>
              <w:t>2-2  项目生产工艺流程及产污节点图</w:t>
            </w:r>
          </w:p>
          <w:p w14:paraId="6932251E">
            <w:pPr>
              <w:keepNext w:val="0"/>
              <w:keepLines w:val="0"/>
              <w:pageBreakBefore w:val="0"/>
              <w:widowControl w:val="0"/>
              <w:kinsoku/>
              <w:wordWrap/>
              <w:overflowPunct/>
              <w:topLinePunct w:val="0"/>
              <w:autoSpaceDE/>
              <w:autoSpaceDN/>
              <w:bidi w:val="0"/>
              <w:adjustRightInd w:val="0"/>
              <w:snapToGrid w:val="0"/>
              <w:spacing w:after="0" w:line="360" w:lineRule="auto"/>
              <w:ind w:left="0" w:leftChars="0" w:right="0" w:righ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生产工艺流程简述：</w:t>
            </w:r>
          </w:p>
          <w:p w14:paraId="4D4FE8EF">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（1）配胶</w:t>
            </w:r>
          </w:p>
          <w:p w14:paraId="508DDE15">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将所需原材料按一定比例人工投入搅拌机中，在常温下加盖闭口搅拌调配所用液料。该过程会产生少量配胶废气，以非甲烷总烃计（G1-1）。</w:t>
            </w:r>
          </w:p>
          <w:p w14:paraId="23EC9D0D">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（2）PVC薄膜电晕处理</w:t>
            </w:r>
          </w:p>
          <w:p w14:paraId="592BC6AD">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涂布前使用电晕机对PVC薄膜进行电晕冲击处理，目的是为了使产品的表面具有更强粘附力（即具有更高的达因系数），防止原材料在生产过程中出现涂布漏胶不均匀等现象，影响产品质量。</w:t>
            </w:r>
          </w:p>
          <w:p w14:paraId="1A4E1764">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（3）放卷</w:t>
            </w:r>
          </w:p>
          <w:p w14:paraId="275BEF70">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经过电晕处理后的PVC膜再进行放卷处理，为保证后续卷材按照设备设定的速度匀速被涂布。</w:t>
            </w:r>
          </w:p>
          <w:p w14:paraId="20BD3941">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（4）印刷</w:t>
            </w:r>
          </w:p>
          <w:p w14:paraId="609C7997">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油墨配制：项目印刷采用水性油墨，水性油墨使用过程中需添加45%的新鲜水进行稀释处理。根据市场需求，部分产品需要进行印刷再进行涂布，印刷过程即将PVC膜引入印刷机后，由印刷一体机在PVC薄膜面上印刷所需要的图案</w:t>
            </w:r>
            <w:r>
              <w:rPr>
                <w:rFonts w:hint="eastAsia" w:ascii="Times New Roman" w:hAnsi="Times New Roman" w:eastAsia="宋体" w:cs="Times New Roman"/>
                <w:color w:val="auto"/>
                <w:kern w:val="2"/>
                <w:sz w:val="24"/>
                <w:szCs w:val="28"/>
                <w:lang w:val="en-US" w:eastAsia="zh-CN"/>
              </w:rPr>
              <w:t>，印刷后进行烘干</w:t>
            </w:r>
            <w:r>
              <w:rPr>
                <w:rFonts w:hint="default" w:ascii="Times New Roman" w:hAnsi="Times New Roman" w:eastAsia="宋体" w:cs="Times New Roman"/>
                <w:color w:val="auto"/>
                <w:kern w:val="2"/>
                <w:sz w:val="24"/>
                <w:szCs w:val="28"/>
                <w:lang w:val="en-US" w:eastAsia="zh-CN"/>
              </w:rPr>
              <w:t>。印刷过程会有印刷废气（G1-2）产生，以非甲烷总烃计。印刷机印版更换油墨时需用清洗剂进行清洗，项目清洗剂为甲醇与水1:10配比，清洗完成后再用抹布擦拭干净，此过程会产生清洗废气（G1-4，以甲醇计）、清洗废水和废抹布</w:t>
            </w:r>
            <w:r>
              <w:rPr>
                <w:rFonts w:hint="eastAsia" w:ascii="Times New Roman" w:hAnsi="Times New Roman" w:eastAsia="宋体" w:cs="Times New Roman"/>
                <w:color w:val="auto"/>
                <w:kern w:val="2"/>
                <w:sz w:val="24"/>
                <w:szCs w:val="28"/>
                <w:lang w:val="en-US" w:eastAsia="zh-CN"/>
              </w:rPr>
              <w:t>（S1）</w:t>
            </w:r>
            <w:r>
              <w:rPr>
                <w:rFonts w:hint="default" w:ascii="Times New Roman" w:hAnsi="Times New Roman" w:eastAsia="宋体" w:cs="Times New Roman"/>
                <w:color w:val="auto"/>
                <w:kern w:val="2"/>
                <w:sz w:val="24"/>
                <w:szCs w:val="28"/>
                <w:lang w:val="en-US" w:eastAsia="zh-CN"/>
              </w:rPr>
              <w:t>，清洗废水收集后用于水性油墨配料，不外排。项目厂区不存储甲醇，即买即用。</w:t>
            </w:r>
          </w:p>
          <w:p w14:paraId="37898C79">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（5）涂布</w:t>
            </w:r>
          </w:p>
          <w:p w14:paraId="79BCB35D">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根据生产工艺，PVC薄膜在全自动拉伸装置牵引作用下，不断向前运动的同时，与涂布机上的涂布液接触，涂布过程中液料中的易挥发物质挥发产生有机废气，以非甲烷总烃计（G1-3）。项目涂布等设备需定期用水擦洗去胶，设备擦洗过程主要有废胶</w:t>
            </w:r>
            <w:r>
              <w:rPr>
                <w:rFonts w:hint="eastAsia" w:ascii="Times New Roman" w:hAnsi="Times New Roman" w:eastAsia="宋体" w:cs="Times New Roman"/>
                <w:color w:val="auto"/>
                <w:kern w:val="2"/>
                <w:sz w:val="24"/>
                <w:szCs w:val="28"/>
                <w:lang w:val="en-US" w:eastAsia="zh-CN"/>
              </w:rPr>
              <w:t>（S2）</w:t>
            </w:r>
            <w:r>
              <w:rPr>
                <w:rFonts w:hint="default" w:ascii="Times New Roman" w:hAnsi="Times New Roman" w:eastAsia="宋体" w:cs="Times New Roman"/>
                <w:color w:val="auto"/>
                <w:kern w:val="2"/>
                <w:sz w:val="24"/>
                <w:szCs w:val="28"/>
                <w:lang w:val="en-US" w:eastAsia="zh-CN"/>
              </w:rPr>
              <w:t>产生。</w:t>
            </w:r>
          </w:p>
          <w:p w14:paraId="4A8598D8">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（6）烘干</w:t>
            </w:r>
          </w:p>
          <w:p w14:paraId="517CA0FF">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涂上涂布液的薄膜在牵引机的作用下进入</w:t>
            </w:r>
            <w:r>
              <w:rPr>
                <w:rFonts w:hint="eastAsia" w:ascii="Times New Roman" w:hAnsi="Times New Roman" w:eastAsia="宋体" w:cs="Times New Roman"/>
                <w:color w:val="auto"/>
                <w:kern w:val="2"/>
                <w:sz w:val="24"/>
                <w:szCs w:val="28"/>
                <w:lang w:val="en-US" w:eastAsia="zh-CN"/>
              </w:rPr>
              <w:t>配套的烘箱</w:t>
            </w:r>
            <w:r>
              <w:rPr>
                <w:rFonts w:hint="default" w:ascii="Times New Roman" w:hAnsi="Times New Roman" w:eastAsia="宋体" w:cs="Times New Roman"/>
                <w:color w:val="auto"/>
                <w:kern w:val="2"/>
                <w:sz w:val="24"/>
                <w:szCs w:val="28"/>
                <w:lang w:val="en-US" w:eastAsia="zh-CN"/>
              </w:rPr>
              <w:t>进行烘干处理，烘干温度为110℃左右，烘干时间在1-5min，烘干主要便于固含物的附着，加速水分蒸发。烘干过程液料中的易挥发物质挥发产生有机废气，以非甲烷总烃计（G1-5）。</w:t>
            </w:r>
          </w:p>
          <w:p w14:paraId="7642B531">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（7）冷却、压纹</w:t>
            </w:r>
          </w:p>
          <w:p w14:paraId="0CC8A92D">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从</w:t>
            </w:r>
            <w:r>
              <w:rPr>
                <w:rFonts w:hint="eastAsia" w:ascii="Times New Roman" w:hAnsi="Times New Roman" w:eastAsia="宋体" w:cs="Times New Roman"/>
                <w:color w:val="auto"/>
                <w:kern w:val="2"/>
                <w:sz w:val="24"/>
                <w:szCs w:val="28"/>
                <w:lang w:val="en-US" w:eastAsia="zh-CN"/>
              </w:rPr>
              <w:t>烘箱</w:t>
            </w:r>
            <w:r>
              <w:rPr>
                <w:rFonts w:hint="default" w:ascii="Times New Roman" w:hAnsi="Times New Roman" w:eastAsia="宋体" w:cs="Times New Roman"/>
                <w:color w:val="auto"/>
                <w:kern w:val="2"/>
                <w:sz w:val="24"/>
                <w:szCs w:val="28"/>
                <w:lang w:val="en-US" w:eastAsia="zh-CN"/>
              </w:rPr>
              <w:t>出来的PVC膜卷材进行自然冷却，冷却后使用带有不同花纹的花辊对PVC膜进行挤压，在PVC膜表面压制形成一定的花纹，压纹过程为物理过程，无废气产生。</w:t>
            </w:r>
          </w:p>
          <w:p w14:paraId="0C919521">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w:t>
            </w:r>
            <w:r>
              <w:rPr>
                <w:rFonts w:hint="eastAsia" w:ascii="Times New Roman" w:hAnsi="Times New Roman" w:eastAsia="宋体" w:cs="Times New Roman"/>
                <w:color w:val="auto"/>
                <w:kern w:val="2"/>
                <w:sz w:val="24"/>
                <w:szCs w:val="28"/>
                <w:lang w:val="en-US" w:eastAsia="zh-CN"/>
              </w:rPr>
              <w:t>8</w:t>
            </w:r>
            <w:r>
              <w:rPr>
                <w:rFonts w:hint="default" w:ascii="Times New Roman" w:hAnsi="Times New Roman" w:eastAsia="宋体" w:cs="Times New Roman"/>
                <w:color w:val="auto"/>
                <w:kern w:val="2"/>
                <w:sz w:val="24"/>
                <w:szCs w:val="28"/>
                <w:lang w:val="en-US" w:eastAsia="zh-CN"/>
              </w:rPr>
              <w:t>）检验</w:t>
            </w:r>
          </w:p>
          <w:p w14:paraId="149A1754">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对产品进行检验检测。</w:t>
            </w:r>
          </w:p>
          <w:p w14:paraId="357D686E">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w:t>
            </w:r>
            <w:r>
              <w:rPr>
                <w:rFonts w:hint="eastAsia" w:ascii="Times New Roman" w:hAnsi="Times New Roman" w:eastAsia="宋体" w:cs="Times New Roman"/>
                <w:color w:val="auto"/>
                <w:kern w:val="2"/>
                <w:sz w:val="24"/>
                <w:szCs w:val="28"/>
                <w:lang w:val="en-US" w:eastAsia="zh-CN"/>
              </w:rPr>
              <w:t>9</w:t>
            </w:r>
            <w:r>
              <w:rPr>
                <w:rFonts w:hint="default" w:ascii="Times New Roman" w:hAnsi="Times New Roman" w:eastAsia="宋体" w:cs="Times New Roman"/>
                <w:color w:val="auto"/>
                <w:kern w:val="2"/>
                <w:sz w:val="24"/>
                <w:szCs w:val="28"/>
                <w:lang w:val="en-US" w:eastAsia="zh-CN"/>
              </w:rPr>
              <w:t>）收卷、分切</w:t>
            </w:r>
          </w:p>
          <w:p w14:paraId="45B7FE21">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根据客户的不同需要对产品进行复卷、分切以达到要求的宽度和长度，分切过程会有边角料</w:t>
            </w:r>
            <w:r>
              <w:rPr>
                <w:rFonts w:hint="eastAsia" w:ascii="Times New Roman" w:hAnsi="Times New Roman" w:eastAsia="宋体" w:cs="Times New Roman"/>
                <w:color w:val="auto"/>
                <w:kern w:val="2"/>
                <w:sz w:val="24"/>
                <w:szCs w:val="28"/>
                <w:lang w:val="en-US" w:eastAsia="zh-CN"/>
              </w:rPr>
              <w:t>（S3）</w:t>
            </w:r>
            <w:r>
              <w:rPr>
                <w:rFonts w:hint="default" w:ascii="Times New Roman" w:hAnsi="Times New Roman" w:eastAsia="宋体" w:cs="Times New Roman"/>
                <w:color w:val="auto"/>
                <w:kern w:val="2"/>
                <w:sz w:val="24"/>
                <w:szCs w:val="28"/>
                <w:lang w:val="en-US" w:eastAsia="zh-CN"/>
              </w:rPr>
              <w:t>产生。</w:t>
            </w:r>
          </w:p>
          <w:p w14:paraId="48A5BCF6">
            <w:pPr>
              <w:widowControl w:val="0"/>
              <w:tabs>
                <w:tab w:val="left" w:pos="1080"/>
              </w:tabs>
              <w:spacing w:after="0" w:afterLines="-2147483648" w:line="360" w:lineRule="auto"/>
              <w:ind w:firstLine="480" w:firstLineChars="200"/>
              <w:jc w:val="both"/>
              <w:rPr>
                <w:rFonts w:hint="default" w:ascii="Times New Roman" w:hAnsi="Times New Roman" w:eastAsia="宋体" w:cs="Times New Roman"/>
                <w:color w:val="auto"/>
                <w:kern w:val="2"/>
                <w:sz w:val="24"/>
                <w:szCs w:val="28"/>
                <w:lang w:val="en-US" w:eastAsia="zh-CN"/>
              </w:rPr>
            </w:pPr>
            <w:r>
              <w:rPr>
                <w:rFonts w:hint="default" w:ascii="Times New Roman" w:hAnsi="Times New Roman" w:eastAsia="宋体" w:cs="Times New Roman"/>
                <w:color w:val="auto"/>
                <w:kern w:val="2"/>
                <w:sz w:val="24"/>
                <w:szCs w:val="28"/>
                <w:lang w:val="en-US" w:eastAsia="zh-CN"/>
              </w:rPr>
              <w:t>（1</w:t>
            </w:r>
            <w:r>
              <w:rPr>
                <w:rFonts w:hint="eastAsia" w:ascii="Times New Roman" w:hAnsi="Times New Roman" w:eastAsia="宋体" w:cs="Times New Roman"/>
                <w:color w:val="auto"/>
                <w:kern w:val="2"/>
                <w:sz w:val="24"/>
                <w:szCs w:val="28"/>
                <w:lang w:val="en-US" w:eastAsia="zh-CN"/>
              </w:rPr>
              <w:t>0</w:t>
            </w:r>
            <w:r>
              <w:rPr>
                <w:rFonts w:hint="default" w:ascii="Times New Roman" w:hAnsi="Times New Roman" w:eastAsia="宋体" w:cs="Times New Roman"/>
                <w:color w:val="auto"/>
                <w:kern w:val="2"/>
                <w:sz w:val="24"/>
                <w:szCs w:val="28"/>
                <w:lang w:val="en-US" w:eastAsia="zh-CN"/>
              </w:rPr>
              <w:t>）包装入库</w:t>
            </w:r>
          </w:p>
          <w:p w14:paraId="14A7B168">
            <w:pPr>
              <w:pStyle w:val="2"/>
              <w:keepNext w:val="0"/>
              <w:keepLines w:val="0"/>
              <w:pageBreakBefore w:val="0"/>
              <w:widowControl/>
              <w:kinsoku/>
              <w:wordWrap/>
              <w:overflowPunct/>
              <w:topLinePunct w:val="0"/>
              <w:autoSpaceDE/>
              <w:autoSpaceDN/>
              <w:bidi w:val="0"/>
              <w:adjustRightInd w:val="0"/>
              <w:snapToGrid w:val="0"/>
              <w:spacing w:before="0" w:after="0" w:line="360" w:lineRule="auto"/>
              <w:ind w:right="0" w:firstLine="480" w:firstLineChars="200"/>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auto"/>
                <w:kern w:val="2"/>
                <w:sz w:val="24"/>
                <w:szCs w:val="28"/>
                <w:lang w:val="en-US" w:eastAsia="zh-CN"/>
              </w:rPr>
              <w:t>对完成的成品包装好入库以等待发货</w:t>
            </w:r>
            <w:r>
              <w:rPr>
                <w:rFonts w:hint="eastAsia" w:ascii="Times New Roman" w:hAnsi="Times New Roman" w:eastAsia="宋体" w:cs="Times New Roman"/>
                <w:color w:val="auto"/>
                <w:kern w:val="2"/>
                <w:sz w:val="24"/>
                <w:szCs w:val="28"/>
                <w:lang w:val="en-US" w:eastAsia="zh-CN"/>
              </w:rPr>
              <w:t>。</w:t>
            </w:r>
          </w:p>
          <w:p w14:paraId="12CCC940">
            <w:pPr>
              <w:pStyle w:val="5"/>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2.4</w:t>
            </w:r>
            <w:r>
              <w:rPr>
                <w:rFonts w:hint="default" w:ascii="Times New Roman" w:hAnsi="Times New Roman" w:eastAsia="宋体" w:cs="Times New Roman"/>
                <w:color w:val="auto"/>
                <w:sz w:val="24"/>
                <w:szCs w:val="24"/>
                <w:lang w:val="en-US" w:eastAsia="zh-CN"/>
              </w:rPr>
              <w:t>项目变动情况</w:t>
            </w:r>
          </w:p>
          <w:p w14:paraId="64407007">
            <w:pPr>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2.4.1</w:t>
            </w:r>
            <w:r>
              <w:rPr>
                <w:rFonts w:hint="default" w:ascii="Times New Roman" w:hAnsi="Times New Roman" w:eastAsia="宋体" w:cs="Times New Roman"/>
                <w:b w:val="0"/>
                <w:bCs w:val="0"/>
                <w:color w:val="auto"/>
                <w:sz w:val="24"/>
                <w:szCs w:val="24"/>
                <w:lang w:val="en-US" w:eastAsia="zh-CN"/>
              </w:rPr>
              <w:t>项目变动情况</w:t>
            </w:r>
          </w:p>
          <w:p w14:paraId="31CE3E44">
            <w:pPr>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color w:val="auto"/>
                <w:spacing w:val="0"/>
                <w:position w:val="0"/>
                <w:sz w:val="24"/>
                <w:szCs w:val="24"/>
                <w:lang w:eastAsia="zh-CN"/>
              </w:rPr>
            </w:pPr>
            <w:r>
              <w:rPr>
                <w:rFonts w:hint="default" w:ascii="Times New Roman" w:hAnsi="Times New Roman" w:eastAsia="宋体" w:cs="Times New Roman"/>
                <w:color w:val="auto"/>
                <w:spacing w:val="0"/>
                <w:position w:val="0"/>
                <w:sz w:val="24"/>
                <w:szCs w:val="24"/>
                <w:lang w:eastAsia="zh-CN"/>
              </w:rPr>
              <w:t>本项目生产过程中有</w:t>
            </w:r>
            <w:r>
              <w:rPr>
                <w:rFonts w:hint="eastAsia" w:ascii="Times New Roman" w:hAnsi="Times New Roman" w:eastAsia="宋体" w:cs="Times New Roman"/>
                <w:color w:val="auto"/>
                <w:spacing w:val="0"/>
                <w:position w:val="0"/>
                <w:sz w:val="24"/>
                <w:szCs w:val="24"/>
                <w:highlight w:val="none"/>
                <w:lang w:val="en-US" w:eastAsia="zh-CN"/>
              </w:rPr>
              <w:t>五</w:t>
            </w:r>
            <w:r>
              <w:rPr>
                <w:rFonts w:hint="default" w:ascii="Times New Roman" w:hAnsi="Times New Roman" w:eastAsia="宋体" w:cs="Times New Roman"/>
                <w:color w:val="auto"/>
                <w:spacing w:val="0"/>
                <w:position w:val="0"/>
                <w:sz w:val="24"/>
                <w:szCs w:val="24"/>
                <w:highlight w:val="none"/>
                <w:lang w:eastAsia="zh-CN"/>
              </w:rPr>
              <w:t>处发生变动。</w:t>
            </w:r>
            <w:r>
              <w:rPr>
                <w:rFonts w:hint="default" w:ascii="Times New Roman" w:hAnsi="Times New Roman" w:eastAsia="宋体" w:cs="Times New Roman"/>
                <w:color w:val="auto"/>
                <w:spacing w:val="0"/>
                <w:position w:val="0"/>
                <w:sz w:val="24"/>
                <w:szCs w:val="24"/>
                <w:lang w:eastAsia="zh-CN"/>
              </w:rPr>
              <w:t>具体见表</w:t>
            </w:r>
            <w:r>
              <w:rPr>
                <w:rFonts w:hint="eastAsia" w:ascii="Times New Roman" w:hAnsi="Times New Roman" w:eastAsia="宋体" w:cs="Times New Roman"/>
                <w:color w:val="auto"/>
                <w:spacing w:val="0"/>
                <w:position w:val="0"/>
                <w:sz w:val="24"/>
                <w:szCs w:val="24"/>
                <w:lang w:val="en-US" w:eastAsia="zh-CN"/>
              </w:rPr>
              <w:t>2-6</w:t>
            </w:r>
            <w:r>
              <w:rPr>
                <w:rFonts w:hint="default" w:ascii="Times New Roman" w:hAnsi="Times New Roman" w:eastAsia="宋体" w:cs="Times New Roman"/>
                <w:color w:val="auto"/>
                <w:spacing w:val="0"/>
                <w:position w:val="0"/>
                <w:sz w:val="24"/>
                <w:szCs w:val="24"/>
                <w:lang w:eastAsia="zh-CN"/>
              </w:rPr>
              <w:t>。</w:t>
            </w:r>
          </w:p>
          <w:p w14:paraId="09B72BE4">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bCs/>
                <w:color w:val="auto"/>
                <w:spacing w:val="0"/>
                <w:position w:val="0"/>
                <w:sz w:val="21"/>
                <w:szCs w:val="21"/>
                <w:lang w:val="en-US" w:eastAsia="zh-CN"/>
              </w:rPr>
            </w:pPr>
            <w:r>
              <w:rPr>
                <w:rFonts w:hint="default" w:ascii="Times New Roman" w:hAnsi="Times New Roman" w:eastAsia="宋体" w:cs="Times New Roman"/>
                <w:b/>
                <w:bCs/>
                <w:color w:val="auto"/>
                <w:spacing w:val="0"/>
                <w:position w:val="0"/>
                <w:sz w:val="21"/>
                <w:szCs w:val="21"/>
                <w:lang w:val="en-US" w:eastAsia="zh-CN"/>
              </w:rPr>
              <w:t>表2-</w:t>
            </w:r>
            <w:r>
              <w:rPr>
                <w:rFonts w:hint="eastAsia" w:ascii="Times New Roman" w:hAnsi="Times New Roman" w:eastAsia="宋体" w:cs="Times New Roman"/>
                <w:b/>
                <w:bCs/>
                <w:color w:val="auto"/>
                <w:spacing w:val="0"/>
                <w:position w:val="0"/>
                <w:sz w:val="21"/>
                <w:szCs w:val="21"/>
                <w:lang w:val="en-US" w:eastAsia="zh-CN"/>
              </w:rPr>
              <w:t>6</w:t>
            </w:r>
            <w:r>
              <w:rPr>
                <w:rFonts w:hint="default" w:ascii="Times New Roman" w:hAnsi="Times New Roman" w:eastAsia="宋体" w:cs="Times New Roman"/>
                <w:b/>
                <w:bCs/>
                <w:color w:val="auto"/>
                <w:spacing w:val="0"/>
                <w:position w:val="0"/>
                <w:sz w:val="21"/>
                <w:szCs w:val="21"/>
                <w:lang w:val="en-US" w:eastAsia="zh-CN"/>
              </w:rPr>
              <w:t xml:space="preserve">  项目变动情况一览表</w:t>
            </w:r>
          </w:p>
          <w:tbl>
            <w:tblPr>
              <w:tblStyle w:val="20"/>
              <w:tblW w:w="499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2"/>
              <w:gridCol w:w="2672"/>
              <w:gridCol w:w="2625"/>
              <w:gridCol w:w="3067"/>
            </w:tblGrid>
            <w:tr w14:paraId="063DE8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62" w:type="pct"/>
                  <w:tcBorders>
                    <w:tl2br w:val="nil"/>
                    <w:tr2bl w:val="nil"/>
                  </w:tcBorders>
                  <w:vAlign w:val="center"/>
                </w:tcPr>
                <w:p w14:paraId="0E11DD0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outlineLvl w:val="2"/>
                    <w:rPr>
                      <w:rFonts w:hint="default" w:ascii="Times New Roman" w:hAnsi="Times New Roman" w:eastAsia="宋体" w:cs="Times New Roman"/>
                      <w:b/>
                      <w:bCs/>
                      <w:color w:val="auto"/>
                      <w:spacing w:val="0"/>
                      <w:position w:val="0"/>
                      <w:sz w:val="21"/>
                      <w:szCs w:val="21"/>
                      <w:lang w:val="en-US" w:eastAsia="zh-CN"/>
                    </w:rPr>
                  </w:pPr>
                  <w:r>
                    <w:rPr>
                      <w:rFonts w:hint="default" w:ascii="Times New Roman" w:hAnsi="Times New Roman" w:eastAsia="宋体" w:cs="Times New Roman"/>
                      <w:b/>
                      <w:bCs/>
                      <w:color w:val="auto"/>
                      <w:spacing w:val="0"/>
                      <w:position w:val="0"/>
                      <w:sz w:val="21"/>
                      <w:szCs w:val="21"/>
                      <w:lang w:val="en-US" w:eastAsia="zh-CN"/>
                    </w:rPr>
                    <w:t>序号</w:t>
                  </w:r>
                </w:p>
              </w:tc>
              <w:tc>
                <w:tcPr>
                  <w:tcW w:w="1481" w:type="pct"/>
                  <w:tcBorders>
                    <w:tl2br w:val="nil"/>
                    <w:tr2bl w:val="nil"/>
                  </w:tcBorders>
                  <w:vAlign w:val="center"/>
                </w:tcPr>
                <w:p w14:paraId="06DF2A0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outlineLvl w:val="2"/>
                    <w:rPr>
                      <w:rFonts w:hint="default" w:ascii="Times New Roman" w:hAnsi="Times New Roman" w:eastAsia="宋体" w:cs="Times New Roman"/>
                      <w:b/>
                      <w:bCs/>
                      <w:color w:val="auto"/>
                      <w:spacing w:val="0"/>
                      <w:position w:val="0"/>
                      <w:sz w:val="21"/>
                      <w:szCs w:val="21"/>
                      <w:lang w:val="en-US" w:eastAsia="zh-CN"/>
                    </w:rPr>
                  </w:pPr>
                  <w:r>
                    <w:rPr>
                      <w:rFonts w:hint="default" w:ascii="Times New Roman" w:hAnsi="Times New Roman" w:eastAsia="宋体" w:cs="Times New Roman"/>
                      <w:b/>
                      <w:bCs/>
                      <w:color w:val="auto"/>
                      <w:spacing w:val="0"/>
                      <w:position w:val="0"/>
                      <w:sz w:val="21"/>
                      <w:szCs w:val="21"/>
                      <w:lang w:val="en-US" w:eastAsia="zh-CN"/>
                    </w:rPr>
                    <w:t>环评文件要求</w:t>
                  </w:r>
                </w:p>
              </w:tc>
              <w:tc>
                <w:tcPr>
                  <w:tcW w:w="1455" w:type="pct"/>
                  <w:tcBorders>
                    <w:tl2br w:val="nil"/>
                    <w:tr2bl w:val="nil"/>
                  </w:tcBorders>
                  <w:vAlign w:val="center"/>
                </w:tcPr>
                <w:p w14:paraId="49EAC42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outlineLvl w:val="2"/>
                    <w:rPr>
                      <w:rFonts w:hint="default" w:ascii="Times New Roman" w:hAnsi="Times New Roman" w:eastAsia="宋体" w:cs="Times New Roman"/>
                      <w:b/>
                      <w:bCs/>
                      <w:color w:val="auto"/>
                      <w:spacing w:val="0"/>
                      <w:position w:val="0"/>
                      <w:sz w:val="21"/>
                      <w:szCs w:val="21"/>
                      <w:lang w:val="en-US" w:eastAsia="zh-CN"/>
                    </w:rPr>
                  </w:pPr>
                  <w:r>
                    <w:rPr>
                      <w:rFonts w:hint="default" w:ascii="Times New Roman" w:hAnsi="Times New Roman" w:eastAsia="宋体" w:cs="Times New Roman"/>
                      <w:b/>
                      <w:bCs/>
                      <w:color w:val="auto"/>
                      <w:spacing w:val="0"/>
                      <w:position w:val="0"/>
                      <w:sz w:val="21"/>
                      <w:szCs w:val="21"/>
                      <w:lang w:val="en-US" w:eastAsia="zh-CN"/>
                    </w:rPr>
                    <w:t>实际建设情况</w:t>
                  </w:r>
                </w:p>
              </w:tc>
              <w:tc>
                <w:tcPr>
                  <w:tcW w:w="1700" w:type="pct"/>
                  <w:tcBorders>
                    <w:tl2br w:val="nil"/>
                    <w:tr2bl w:val="nil"/>
                  </w:tcBorders>
                  <w:vAlign w:val="center"/>
                </w:tcPr>
                <w:p w14:paraId="1049BA0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outlineLvl w:val="2"/>
                    <w:rPr>
                      <w:rFonts w:hint="default" w:ascii="Times New Roman" w:hAnsi="Times New Roman" w:eastAsia="宋体" w:cs="Times New Roman"/>
                      <w:b/>
                      <w:bCs/>
                      <w:color w:val="auto"/>
                      <w:spacing w:val="0"/>
                      <w:position w:val="0"/>
                      <w:sz w:val="21"/>
                      <w:szCs w:val="21"/>
                      <w:lang w:val="en-US" w:eastAsia="zh-CN"/>
                    </w:rPr>
                  </w:pPr>
                  <w:r>
                    <w:rPr>
                      <w:rFonts w:hint="default" w:ascii="Times New Roman" w:hAnsi="Times New Roman" w:eastAsia="宋体" w:cs="Times New Roman"/>
                      <w:b/>
                      <w:bCs/>
                      <w:color w:val="auto"/>
                      <w:spacing w:val="0"/>
                      <w:position w:val="0"/>
                      <w:sz w:val="21"/>
                      <w:szCs w:val="21"/>
                      <w:lang w:val="en-US" w:eastAsia="zh-CN"/>
                    </w:rPr>
                    <w:t>是否属于重大变动</w:t>
                  </w:r>
                </w:p>
              </w:tc>
            </w:tr>
            <w:tr w14:paraId="3BEAE3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2" w:type="pct"/>
                  <w:tcBorders>
                    <w:tl2br w:val="nil"/>
                    <w:tr2bl w:val="nil"/>
                  </w:tcBorders>
                  <w:vAlign w:val="center"/>
                </w:tcPr>
                <w:p w14:paraId="79B54C4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1</w:t>
                  </w:r>
                </w:p>
              </w:tc>
              <w:tc>
                <w:tcPr>
                  <w:tcW w:w="1481" w:type="pct"/>
                  <w:tcBorders>
                    <w:tl2br w:val="nil"/>
                    <w:tr2bl w:val="nil"/>
                  </w:tcBorders>
                  <w:vAlign w:val="center"/>
                </w:tcPr>
                <w:p w14:paraId="45CC5CD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项目设计产能：年产1.2亿平方米PVC保护膜。</w:t>
                  </w:r>
                </w:p>
              </w:tc>
              <w:tc>
                <w:tcPr>
                  <w:tcW w:w="1455" w:type="pct"/>
                  <w:tcBorders>
                    <w:tl2br w:val="nil"/>
                    <w:tr2bl w:val="nil"/>
                  </w:tcBorders>
                  <w:vAlign w:val="center"/>
                </w:tcPr>
                <w:p w14:paraId="497AB58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项目现阶段建设产能：年产4000万平方米PVC保护膜。</w:t>
                  </w:r>
                </w:p>
              </w:tc>
              <w:tc>
                <w:tcPr>
                  <w:tcW w:w="1700" w:type="pct"/>
                  <w:tcBorders>
                    <w:tl2br w:val="nil"/>
                    <w:tr2bl w:val="nil"/>
                  </w:tcBorders>
                  <w:vAlign w:val="center"/>
                </w:tcPr>
                <w:p w14:paraId="204F68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生产能力未增加</w:t>
                  </w:r>
                  <w:r>
                    <w:rPr>
                      <w:rFonts w:hint="default" w:ascii="Times New Roman" w:hAnsi="Times New Roman" w:eastAsia="宋体" w:cs="Times New Roman"/>
                      <w:b w:val="0"/>
                      <w:bCs w:val="0"/>
                      <w:color w:val="auto"/>
                      <w:sz w:val="21"/>
                      <w:szCs w:val="21"/>
                      <w:vertAlign w:val="baseline"/>
                      <w:lang w:val="en-US" w:eastAsia="zh-CN"/>
                    </w:rPr>
                    <w:t>，不属于重大变动。</w:t>
                  </w:r>
                </w:p>
              </w:tc>
            </w:tr>
            <w:tr w14:paraId="17A559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2" w:type="pct"/>
                  <w:tcBorders>
                    <w:tl2br w:val="nil"/>
                    <w:tr2bl w:val="nil"/>
                  </w:tcBorders>
                  <w:vAlign w:val="center"/>
                </w:tcPr>
                <w:p w14:paraId="7E7DCD0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outlineLvl w:val="9"/>
                    <w:rPr>
                      <w:rFonts w:hint="default" w:ascii="Times New Roman" w:hAnsi="Times New Roman" w:eastAsia="宋体" w:cs="Times New Roman"/>
                      <w:b w:val="0"/>
                      <w:bCs w:val="0"/>
                      <w:color w:val="FF0000"/>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2</w:t>
                  </w:r>
                </w:p>
              </w:tc>
              <w:tc>
                <w:tcPr>
                  <w:tcW w:w="1481" w:type="pct"/>
                  <w:tcBorders>
                    <w:tl2br w:val="nil"/>
                    <w:tr2bl w:val="nil"/>
                  </w:tcBorders>
                  <w:vAlign w:val="center"/>
                </w:tcPr>
                <w:p w14:paraId="64206FB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color w:val="FF0000"/>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环评设计：厂区西南侧的2#仓库内设置一间占地面积20m</w:t>
                  </w:r>
                  <w:r>
                    <w:rPr>
                      <w:rFonts w:hint="default" w:ascii="Times New Roman" w:hAnsi="Times New Roman" w:eastAsia="宋体" w:cs="Times New Roman"/>
                      <w:b w:val="0"/>
                      <w:bCs w:val="0"/>
                      <w:color w:val="auto"/>
                      <w:sz w:val="21"/>
                      <w:szCs w:val="21"/>
                      <w:vertAlign w:val="superscript"/>
                      <w:lang w:val="en-US" w:eastAsia="zh-CN"/>
                    </w:rPr>
                    <w:t>2</w:t>
                  </w:r>
                  <w:r>
                    <w:rPr>
                      <w:rFonts w:hint="default" w:ascii="Times New Roman" w:hAnsi="Times New Roman" w:eastAsia="宋体" w:cs="Times New Roman"/>
                      <w:b w:val="0"/>
                      <w:bCs w:val="0"/>
                      <w:color w:val="auto"/>
                      <w:sz w:val="21"/>
                      <w:szCs w:val="21"/>
                      <w:vertAlign w:val="baseline"/>
                      <w:lang w:val="en-US" w:eastAsia="zh-CN"/>
                    </w:rPr>
                    <w:t>的危废间</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w:t>
                  </w:r>
                </w:p>
              </w:tc>
              <w:tc>
                <w:tcPr>
                  <w:tcW w:w="1455" w:type="pct"/>
                  <w:tcBorders>
                    <w:tl2br w:val="nil"/>
                    <w:tr2bl w:val="nil"/>
                  </w:tcBorders>
                  <w:vAlign w:val="center"/>
                </w:tcPr>
                <w:p w14:paraId="35A4DA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项目实际建设：2#</w:t>
                  </w:r>
                  <w:r>
                    <w:rPr>
                      <w:rFonts w:hint="default" w:ascii="Times New Roman" w:hAnsi="Times New Roman" w:eastAsia="宋体" w:cs="Times New Roman"/>
                      <w:b w:val="0"/>
                      <w:bCs w:val="0"/>
                      <w:color w:val="auto"/>
                      <w:sz w:val="21"/>
                      <w:szCs w:val="21"/>
                      <w:vertAlign w:val="baseline"/>
                      <w:lang w:val="en-US" w:eastAsia="zh-Hans"/>
                    </w:rPr>
                    <w:t>车间</w:t>
                  </w:r>
                  <w:r>
                    <w:rPr>
                      <w:rFonts w:hint="default" w:ascii="Times New Roman" w:hAnsi="Times New Roman" w:eastAsia="宋体" w:cs="Times New Roman"/>
                      <w:b w:val="0"/>
                      <w:bCs w:val="0"/>
                      <w:color w:val="auto"/>
                      <w:sz w:val="21"/>
                      <w:szCs w:val="21"/>
                      <w:vertAlign w:val="baseline"/>
                      <w:lang w:val="en-US" w:eastAsia="zh-CN"/>
                    </w:rPr>
                    <w:t>1</w:t>
                  </w:r>
                  <w:r>
                    <w:rPr>
                      <w:rFonts w:hint="default" w:ascii="Times New Roman" w:hAnsi="Times New Roman" w:eastAsia="宋体" w:cs="Times New Roman"/>
                      <w:b w:val="0"/>
                      <w:bCs w:val="0"/>
                      <w:color w:val="auto"/>
                      <w:sz w:val="21"/>
                      <w:szCs w:val="21"/>
                      <w:vertAlign w:val="baseline"/>
                      <w:lang w:val="en-US" w:eastAsia="zh-Hans"/>
                    </w:rPr>
                    <w:t>层</w:t>
                  </w:r>
                  <w:r>
                    <w:rPr>
                      <w:rFonts w:hint="default" w:ascii="Times New Roman" w:hAnsi="Times New Roman" w:eastAsia="宋体" w:cs="Times New Roman"/>
                      <w:b w:val="0"/>
                      <w:bCs w:val="0"/>
                      <w:color w:val="auto"/>
                      <w:sz w:val="21"/>
                      <w:szCs w:val="21"/>
                      <w:vertAlign w:val="baseline"/>
                      <w:lang w:val="en-US" w:eastAsia="zh-CN"/>
                    </w:rPr>
                    <w:t>设置一间占地面积30m</w:t>
                  </w:r>
                  <w:r>
                    <w:rPr>
                      <w:rFonts w:hint="default" w:ascii="Times New Roman" w:hAnsi="Times New Roman" w:eastAsia="宋体" w:cs="Times New Roman"/>
                      <w:b w:val="0"/>
                      <w:bCs w:val="0"/>
                      <w:color w:val="auto"/>
                      <w:sz w:val="21"/>
                      <w:szCs w:val="21"/>
                      <w:vertAlign w:val="superscript"/>
                      <w:lang w:val="en-US" w:eastAsia="zh-CN"/>
                    </w:rPr>
                    <w:t>2</w:t>
                  </w:r>
                  <w:r>
                    <w:rPr>
                      <w:rFonts w:hint="default" w:ascii="Times New Roman" w:hAnsi="Times New Roman" w:eastAsia="宋体" w:cs="Times New Roman"/>
                      <w:b w:val="0"/>
                      <w:bCs w:val="0"/>
                      <w:color w:val="auto"/>
                      <w:sz w:val="21"/>
                      <w:szCs w:val="21"/>
                      <w:vertAlign w:val="baseline"/>
                      <w:lang w:val="en-US" w:eastAsia="zh-CN"/>
                    </w:rPr>
                    <w:t>的危废</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间</w:t>
                  </w:r>
                  <w:r>
                    <w:rPr>
                      <w:rFonts w:hint="default" w:ascii="Times New Roman" w:hAnsi="Times New Roman" w:eastAsia="宋体" w:cs="Times New Roman"/>
                      <w:color w:val="000000" w:themeColor="text1"/>
                      <w:kern w:val="0"/>
                      <w:sz w:val="21"/>
                      <w:szCs w:val="21"/>
                      <w:highlight w:val="none"/>
                      <w:vertAlign w:val="baseline"/>
                      <w:lang w:val="en-US" w:eastAsia="zh-CN" w:bidi="ar-SA"/>
                      <w14:textFill>
                        <w14:solidFill>
                          <w14:schemeClr w14:val="tx1"/>
                        </w14:solidFill>
                      </w14:textFill>
                    </w:rPr>
                    <w:t>。</w:t>
                  </w:r>
                </w:p>
              </w:tc>
              <w:tc>
                <w:tcPr>
                  <w:tcW w:w="1700" w:type="pct"/>
                  <w:tcBorders>
                    <w:tl2br w:val="nil"/>
                    <w:tr2bl w:val="nil"/>
                  </w:tcBorders>
                  <w:vAlign w:val="center"/>
                </w:tcPr>
                <w:p w14:paraId="27AD93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color w:val="FF0000"/>
                      <w:spacing w:val="0"/>
                      <w:sz w:val="21"/>
                      <w:szCs w:val="21"/>
                      <w:vertAlign w:val="baseline"/>
                      <w:lang w:val="en-US" w:eastAsia="zh-CN"/>
                    </w:rPr>
                  </w:pPr>
                  <w:r>
                    <w:rPr>
                      <w:rFonts w:hint="default" w:ascii="Times New Roman" w:hAnsi="Times New Roman" w:eastAsia="宋体" w:cs="Times New Roman"/>
                      <w:color w:val="auto"/>
                      <w:spacing w:val="0"/>
                      <w:sz w:val="21"/>
                      <w:szCs w:val="21"/>
                      <w:lang w:val="en-US" w:eastAsia="zh-CN"/>
                    </w:rPr>
                    <w:t>危废暂存间面积较环评增加10m</w:t>
                  </w:r>
                  <w:r>
                    <w:rPr>
                      <w:rFonts w:hint="default" w:ascii="Times New Roman" w:hAnsi="Times New Roman" w:eastAsia="宋体" w:cs="Times New Roman"/>
                      <w:color w:val="auto"/>
                      <w:spacing w:val="0"/>
                      <w:sz w:val="21"/>
                      <w:szCs w:val="21"/>
                      <w:vertAlign w:val="superscript"/>
                      <w:lang w:val="en-US" w:eastAsia="zh-CN"/>
                    </w:rPr>
                    <w:t>2</w:t>
                  </w: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位置调整</w:t>
                  </w:r>
                  <w:r>
                    <w:rPr>
                      <w:rFonts w:hint="eastAsia"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未</w:t>
                  </w: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导致防护距离内新增敏感点，</w:t>
                  </w:r>
                  <w:r>
                    <w:rPr>
                      <w:rFonts w:hint="default" w:ascii="Times New Roman" w:hAnsi="Times New Roman" w:eastAsia="宋体" w:cs="Times New Roman"/>
                      <w:color w:val="000000" w:themeColor="text1"/>
                      <w:spacing w:val="0"/>
                      <w:sz w:val="21"/>
                      <w:szCs w:val="21"/>
                      <w:vertAlign w:val="baseline"/>
                      <w:lang w:val="en-US" w:eastAsia="zh-CN"/>
                      <w14:textFill>
                        <w14:solidFill>
                          <w14:schemeClr w14:val="tx1"/>
                        </w14:solidFill>
                      </w14:textFill>
                    </w:rPr>
                    <w:t>不属于重大变动。</w:t>
                  </w:r>
                </w:p>
              </w:tc>
            </w:tr>
            <w:tr w14:paraId="34DA97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2" w:type="pct"/>
                  <w:tcBorders>
                    <w:tl2br w:val="nil"/>
                    <w:tr2bl w:val="nil"/>
                  </w:tcBorders>
                  <w:vAlign w:val="center"/>
                </w:tcPr>
                <w:p w14:paraId="05AFAA0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outlineLvl w:val="9"/>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3</w:t>
                  </w:r>
                </w:p>
              </w:tc>
              <w:tc>
                <w:tcPr>
                  <w:tcW w:w="1481" w:type="pct"/>
                  <w:tcBorders>
                    <w:tl2br w:val="nil"/>
                    <w:tr2bl w:val="nil"/>
                  </w:tcBorders>
                  <w:vAlign w:val="center"/>
                </w:tcPr>
                <w:p w14:paraId="7109DA0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环评设计：危险废物为废原料包装桶、废抹布、废胶、废活性炭</w:t>
                  </w:r>
                </w:p>
              </w:tc>
              <w:tc>
                <w:tcPr>
                  <w:tcW w:w="1455" w:type="pct"/>
                  <w:tcBorders>
                    <w:tl2br w:val="nil"/>
                    <w:tr2bl w:val="nil"/>
                  </w:tcBorders>
                  <w:vAlign w:val="center"/>
                </w:tcPr>
                <w:p w14:paraId="1E900E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vertAlign w:val="baseline"/>
                      <w:lang w:val="en-US" w:eastAsia="zh-CN"/>
                      <w14:textFill>
                        <w14:solidFill>
                          <w14:schemeClr w14:val="tx1"/>
                        </w14:solidFill>
                      </w14:textFill>
                    </w:rPr>
                    <w:t>项目实际建设：由于废气治理工艺优化为“气动旋流净化塔+干式过滤箱+活性炭吸附浓缩+催化燃烧”，故新增废过滤介质和废催化剂。项目现阶段危险废物主要是废原料包装桶、废抹布、废胶、废过滤介质、废催化剂和废活性炭</w:t>
                  </w:r>
                </w:p>
              </w:tc>
              <w:tc>
                <w:tcPr>
                  <w:tcW w:w="1700" w:type="pct"/>
                  <w:tcBorders>
                    <w:tl2br w:val="nil"/>
                    <w:tr2bl w:val="nil"/>
                  </w:tcBorders>
                  <w:vAlign w:val="center"/>
                </w:tcPr>
                <w:p w14:paraId="20C3A3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1"/>
                      <w:szCs w:val="21"/>
                      <w:lang w:val="en-US" w:eastAsia="zh-CN"/>
                      <w14:textFill>
                        <w14:solidFill>
                          <w14:schemeClr w14:val="tx1"/>
                        </w14:solidFill>
                      </w14:textFill>
                    </w:rPr>
                    <w:t>项目现阶段危废暂存间面积较环评增加10m</w:t>
                  </w:r>
                  <w:r>
                    <w:rPr>
                      <w:rFonts w:hint="default" w:ascii="Times New Roman" w:hAnsi="Times New Roman" w:eastAsia="宋体" w:cs="Times New Roman"/>
                      <w:color w:val="000000" w:themeColor="text1"/>
                      <w:spacing w:val="0"/>
                      <w:sz w:val="21"/>
                      <w:szCs w:val="21"/>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spacing w:val="0"/>
                      <w:sz w:val="21"/>
                      <w:szCs w:val="21"/>
                      <w:vertAlign w:val="baseline"/>
                      <w:lang w:val="en-US" w:eastAsia="zh-CN"/>
                      <w14:textFill>
                        <w14:solidFill>
                          <w14:schemeClr w14:val="tx1"/>
                        </w14:solidFill>
                      </w14:textFill>
                    </w:rPr>
                    <w:t>，根据环保设施建设单位提供的信息可知，设施运行会产生废过滤介质和废催化剂，</w:t>
                  </w:r>
                  <w:r>
                    <w:rPr>
                      <w:rFonts w:hint="default" w:ascii="Times New Roman" w:hAnsi="Times New Roman" w:eastAsia="宋体" w:cs="Times New Roman"/>
                      <w:color w:val="000000" w:themeColor="text1"/>
                      <w:sz w:val="21"/>
                      <w:szCs w:val="21"/>
                      <w14:textFill>
                        <w14:solidFill>
                          <w14:schemeClr w14:val="tx1"/>
                        </w14:solidFill>
                      </w14:textFill>
                    </w:rPr>
                    <w:t>集中收集后，</w:t>
                  </w:r>
                  <w:r>
                    <w:rPr>
                      <w:rFonts w:hint="default" w:ascii="Times New Roman" w:hAnsi="Times New Roman" w:eastAsia="宋体" w:cs="Times New Roman"/>
                      <w:color w:val="000000" w:themeColor="text1"/>
                      <w:sz w:val="21"/>
                      <w:szCs w:val="21"/>
                      <w:lang w:eastAsia="zh-CN"/>
                      <w14:textFill>
                        <w14:solidFill>
                          <w14:schemeClr w14:val="tx1"/>
                        </w14:solidFill>
                      </w14:textFill>
                    </w:rPr>
                    <w:t>贮存</w:t>
                  </w:r>
                  <w:r>
                    <w:rPr>
                      <w:rFonts w:hint="default" w:ascii="Times New Roman" w:hAnsi="Times New Roman" w:eastAsia="宋体" w:cs="Times New Roman"/>
                      <w:color w:val="000000" w:themeColor="text1"/>
                      <w:sz w:val="21"/>
                      <w:szCs w:val="21"/>
                      <w14:textFill>
                        <w14:solidFill>
                          <w14:schemeClr w14:val="tx1"/>
                        </w14:solidFill>
                      </w14:textFill>
                    </w:rPr>
                    <w:t>于危废间，定期委托</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马鞍山澳新环保科技有限公司</w:t>
                  </w:r>
                  <w:r>
                    <w:rPr>
                      <w:rFonts w:hint="default" w:ascii="Times New Roman" w:hAnsi="Times New Roman" w:eastAsia="宋体" w:cs="Times New Roman"/>
                      <w:color w:val="000000" w:themeColor="text1"/>
                      <w:sz w:val="21"/>
                      <w:szCs w:val="21"/>
                      <w:highlight w:val="none"/>
                      <w14:textFill>
                        <w14:solidFill>
                          <w14:schemeClr w14:val="tx1"/>
                        </w14:solidFill>
                      </w14:textFill>
                    </w:rPr>
                    <w:t>处置</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不会对环境造成污染，故</w:t>
                  </w:r>
                  <w:r>
                    <w:rPr>
                      <w:rFonts w:hint="default" w:ascii="Times New Roman" w:hAnsi="Times New Roman" w:eastAsia="宋体" w:cs="Times New Roman"/>
                      <w:color w:val="000000" w:themeColor="text1"/>
                      <w:spacing w:val="0"/>
                      <w:sz w:val="21"/>
                      <w:szCs w:val="21"/>
                      <w:vertAlign w:val="baseline"/>
                      <w:lang w:val="en-US" w:eastAsia="zh-CN"/>
                      <w14:textFill>
                        <w14:solidFill>
                          <w14:schemeClr w14:val="tx1"/>
                        </w14:solidFill>
                      </w14:textFill>
                    </w:rPr>
                    <w:t>不属于重大变动。</w:t>
                  </w:r>
                </w:p>
              </w:tc>
            </w:tr>
            <w:tr w14:paraId="3B9B89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2" w:type="pct"/>
                  <w:tcBorders>
                    <w:tl2br w:val="nil"/>
                    <w:tr2bl w:val="nil"/>
                  </w:tcBorders>
                  <w:vAlign w:val="center"/>
                </w:tcPr>
                <w:p w14:paraId="43B476E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4</w:t>
                  </w:r>
                </w:p>
              </w:tc>
              <w:tc>
                <w:tcPr>
                  <w:tcW w:w="1481" w:type="pct"/>
                  <w:tcBorders>
                    <w:tl2br w:val="nil"/>
                    <w:tr2bl w:val="nil"/>
                  </w:tcBorders>
                  <w:vAlign w:val="center"/>
                </w:tcPr>
                <w:p w14:paraId="22DA774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环评设计设备数量：全厂涂布机共6台、分切机共6台、电热风炉共6台、印刷机共4台、复卷机共2台、搅拌机共2台、电晕机共6台、烘房共2间、网纹辊共6条。</w:t>
                  </w:r>
                </w:p>
              </w:tc>
              <w:tc>
                <w:tcPr>
                  <w:tcW w:w="1455" w:type="pct"/>
                  <w:tcBorders>
                    <w:tl2br w:val="nil"/>
                    <w:tr2bl w:val="nil"/>
                  </w:tcBorders>
                  <w:vAlign w:val="center"/>
                </w:tcPr>
                <w:p w14:paraId="6932C2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项目实际购置：全厂涂布机2台、分切机2台、电热风炉0台、印刷机1台、复卷机1台、搅拌机1台、电晕机2台、烘房0间、网纹辊</w:t>
                  </w:r>
                  <w:r>
                    <w:rPr>
                      <w:rFonts w:hint="eastAsia" w:ascii="Times New Roman" w:hAnsi="Times New Roman" w:eastAsia="宋体" w:cs="Times New Roman"/>
                      <w:b w:val="0"/>
                      <w:bCs w:val="0"/>
                      <w:color w:val="auto"/>
                      <w:sz w:val="21"/>
                      <w:szCs w:val="21"/>
                      <w:vertAlign w:val="baseline"/>
                      <w:lang w:val="en-US" w:eastAsia="zh-CN"/>
                    </w:rPr>
                    <w:t>11</w:t>
                  </w:r>
                  <w:r>
                    <w:rPr>
                      <w:rFonts w:hint="default" w:ascii="Times New Roman" w:hAnsi="Times New Roman" w:eastAsia="宋体" w:cs="Times New Roman"/>
                      <w:b w:val="0"/>
                      <w:bCs w:val="0"/>
                      <w:color w:val="auto"/>
                      <w:sz w:val="21"/>
                      <w:szCs w:val="21"/>
                      <w:vertAlign w:val="baseline"/>
                      <w:lang w:val="en-US" w:eastAsia="zh-CN"/>
                    </w:rPr>
                    <w:t>条。因</w:t>
                  </w:r>
                  <w:r>
                    <w:rPr>
                      <w:rFonts w:hint="default" w:ascii="Times New Roman" w:hAnsi="Times New Roman" w:eastAsia="宋体" w:cs="Times New Roman"/>
                      <w:color w:val="auto"/>
                      <w:kern w:val="2"/>
                      <w:sz w:val="21"/>
                      <w:szCs w:val="21"/>
                      <w:lang w:val="en-US" w:eastAsia="zh-CN" w:bidi="ar-SA"/>
                    </w:rPr>
                    <w:t>涂布机、印刷机设备已配套</w:t>
                  </w:r>
                  <w:r>
                    <w:rPr>
                      <w:rStyle w:val="21"/>
                      <w:rFonts w:hint="default" w:ascii="Times New Roman" w:hAnsi="Times New Roman" w:eastAsia="宋体" w:cs="Times New Roman"/>
                      <w:color w:val="auto"/>
                      <w:kern w:val="2"/>
                      <w:sz w:val="21"/>
                      <w:szCs w:val="21"/>
                      <w:lang w:val="en-US" w:eastAsia="zh-CN" w:bidi="ar-SA"/>
                    </w:rPr>
                    <w:t>烘箱进行烘干工序，满足生产要求，故现阶段未设置</w:t>
                  </w:r>
                  <w:r>
                    <w:rPr>
                      <w:rFonts w:hint="default" w:ascii="Times New Roman" w:hAnsi="Times New Roman" w:eastAsia="宋体" w:cs="Times New Roman"/>
                      <w:b w:val="0"/>
                      <w:bCs w:val="0"/>
                      <w:color w:val="auto"/>
                      <w:sz w:val="21"/>
                      <w:szCs w:val="21"/>
                      <w:vertAlign w:val="baseline"/>
                      <w:lang w:val="en-US" w:eastAsia="zh-CN"/>
                    </w:rPr>
                    <w:t>烘房和电热风炉。</w:t>
                  </w:r>
                </w:p>
              </w:tc>
              <w:tc>
                <w:tcPr>
                  <w:tcW w:w="1700" w:type="pct"/>
                  <w:tcBorders>
                    <w:tl2br w:val="nil"/>
                    <w:tr2bl w:val="nil"/>
                  </w:tcBorders>
                  <w:vAlign w:val="center"/>
                </w:tcPr>
                <w:p w14:paraId="237C3F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sz w:val="21"/>
                      <w:szCs w:val="21"/>
                      <w:lang w:val="en-US" w:eastAsia="zh-CN"/>
                    </w:rPr>
                  </w:pPr>
                  <w:r>
                    <w:rPr>
                      <w:rFonts w:hint="default" w:ascii="Times New Roman" w:hAnsi="Times New Roman" w:eastAsia="宋体" w:cs="Times New Roman"/>
                      <w:color w:val="auto"/>
                      <w:spacing w:val="0"/>
                      <w:sz w:val="21"/>
                      <w:szCs w:val="21"/>
                      <w:lang w:val="en-US" w:eastAsia="zh-CN"/>
                    </w:rPr>
                    <w:t>本项目</w:t>
                  </w:r>
                  <w:r>
                    <w:rPr>
                      <w:rFonts w:hint="eastAsia" w:ascii="Times New Roman" w:hAnsi="Times New Roman" w:eastAsia="宋体" w:cs="Times New Roman"/>
                      <w:color w:val="auto"/>
                      <w:spacing w:val="0"/>
                      <w:sz w:val="21"/>
                      <w:szCs w:val="21"/>
                      <w:lang w:val="en-US" w:eastAsia="zh-CN"/>
                    </w:rPr>
                    <w:t>生产能力未增加，</w:t>
                  </w:r>
                  <w:r>
                    <w:rPr>
                      <w:rFonts w:hint="default" w:ascii="Times New Roman" w:hAnsi="Times New Roman" w:eastAsia="宋体" w:cs="Times New Roman"/>
                      <w:color w:val="auto"/>
                      <w:spacing w:val="0"/>
                      <w:sz w:val="21"/>
                      <w:szCs w:val="21"/>
                      <w:lang w:val="en-US" w:eastAsia="zh-CN"/>
                    </w:rPr>
                    <w:t>新增的设备均不影响产能，不涉及有机废气非甲烷总烃的新增，</w:t>
                  </w:r>
                  <w:r>
                    <w:rPr>
                      <w:rFonts w:hint="default" w:ascii="Times New Roman" w:hAnsi="Times New Roman" w:eastAsia="宋体" w:cs="Times New Roman"/>
                      <w:color w:val="auto"/>
                      <w:spacing w:val="0"/>
                      <w:sz w:val="21"/>
                      <w:szCs w:val="21"/>
                      <w:vertAlign w:val="baseline"/>
                      <w:lang w:val="en-US" w:eastAsia="zh-CN"/>
                    </w:rPr>
                    <w:t>不属于重大变动。</w:t>
                  </w:r>
                </w:p>
              </w:tc>
            </w:tr>
            <w:tr w14:paraId="235FC8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2" w:type="pct"/>
                  <w:tcBorders>
                    <w:tl2br w:val="nil"/>
                    <w:tr2bl w:val="nil"/>
                  </w:tcBorders>
                  <w:vAlign w:val="center"/>
                </w:tcPr>
                <w:p w14:paraId="6DE3579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5</w:t>
                  </w:r>
                </w:p>
              </w:tc>
              <w:tc>
                <w:tcPr>
                  <w:tcW w:w="1481" w:type="pct"/>
                  <w:tcBorders>
                    <w:tl2br w:val="nil"/>
                    <w:tr2bl w:val="nil"/>
                  </w:tcBorders>
                  <w:vAlign w:val="center"/>
                </w:tcPr>
                <w:p w14:paraId="1011D8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color w:val="auto"/>
                      <w:kern w:val="2"/>
                      <w:sz w:val="21"/>
                      <w:szCs w:val="21"/>
                      <w:highlight w:val="none"/>
                      <w:lang w:val="en-US" w:eastAsia="zh-CN" w:bidi="ar-SA"/>
                    </w:rPr>
                    <w:t>环评设计废气处理设施为“气旋净化+二级活性炭吸附装置”</w:t>
                  </w:r>
                  <w:r>
                    <w:rPr>
                      <w:rFonts w:hint="default" w:ascii="Times New Roman" w:hAnsi="Times New Roman" w:eastAsia="宋体" w:cs="Times New Roman"/>
                      <w:color w:val="auto"/>
                      <w:kern w:val="2"/>
                      <w:sz w:val="21"/>
                      <w:szCs w:val="21"/>
                      <w:lang w:val="en-US" w:eastAsia="zh-CN" w:bidi="ar-SA"/>
                    </w:rPr>
                    <w:t>。</w:t>
                  </w:r>
                </w:p>
              </w:tc>
              <w:tc>
                <w:tcPr>
                  <w:tcW w:w="1455" w:type="pct"/>
                  <w:tcBorders>
                    <w:tl2br w:val="nil"/>
                    <w:tr2bl w:val="nil"/>
                  </w:tcBorders>
                  <w:vAlign w:val="center"/>
                </w:tcPr>
                <w:p w14:paraId="616867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FF0000"/>
                      <w:spacing w:val="0"/>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项目实际建设：“气动旋流净化塔+干式过滤箱+活性炭吸附浓缩+催化燃烧”</w:t>
                  </w:r>
                  <w:r>
                    <w:rPr>
                      <w:rFonts w:hint="default" w:ascii="Times New Roman" w:hAnsi="Times New Roman" w:eastAsia="宋体" w:cs="Times New Roman"/>
                      <w:color w:val="auto"/>
                      <w:kern w:val="2"/>
                      <w:sz w:val="21"/>
                      <w:szCs w:val="21"/>
                      <w:lang w:val="en-US" w:eastAsia="zh-CN" w:bidi="ar-SA"/>
                    </w:rPr>
                    <w:t>。</w:t>
                  </w:r>
                </w:p>
              </w:tc>
              <w:tc>
                <w:tcPr>
                  <w:tcW w:w="1700" w:type="pct"/>
                  <w:tcBorders>
                    <w:tl2br w:val="nil"/>
                    <w:tr2bl w:val="nil"/>
                  </w:tcBorders>
                  <w:vAlign w:val="center"/>
                </w:tcPr>
                <w:p w14:paraId="7806FAB3">
                  <w:pPr>
                    <w:pStyle w:val="29"/>
                    <w:keepNext w:val="0"/>
                    <w:keepLines w:val="0"/>
                    <w:pageBreakBefore w:val="0"/>
                    <w:widowControl w:val="0"/>
                    <w:kinsoku/>
                    <w:wordWrap/>
                    <w:overflowPunct/>
                    <w:topLinePunct w:val="0"/>
                    <w:autoSpaceDE/>
                    <w:autoSpaceDN/>
                    <w:bidi w:val="0"/>
                    <w:adjustRightInd w:val="0"/>
                    <w:snapToGrid w:val="0"/>
                    <w:spacing w:after="0"/>
                    <w:ind w:left="0" w:leftChars="0" w:right="0" w:rightChars="0" w:firstLine="0" w:firstLineChars="0"/>
                    <w:jc w:val="center"/>
                    <w:textAlignment w:val="auto"/>
                    <w:rPr>
                      <w:rFonts w:hint="default" w:ascii="Times New Roman" w:hAnsi="Times New Roman" w:eastAsia="宋体" w:cs="Times New Roman"/>
                      <w:b w:val="0"/>
                      <w:bCs w:val="0"/>
                      <w:color w:val="FF0000"/>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根据《黄山市航瑞新材料有限公司年产1.2亿平方米PVC保护膜项目环境影响报告表》可知，废气治理设施“气旋净化+二级活性炭吸附装置”处理效率为90%。根据</w:t>
                  </w:r>
                  <w:r>
                    <w:rPr>
                      <w:rFonts w:hint="default" w:ascii="Times New Roman" w:hAnsi="Times New Roman" w:eastAsia="宋体" w:cs="Times New Roman"/>
                      <w:b w:val="0"/>
                      <w:bCs w:val="0"/>
                      <w:color w:val="000000" w:themeColor="text1"/>
                      <w:sz w:val="21"/>
                      <w:szCs w:val="21"/>
                      <w:highlight w:val="none"/>
                      <w:vertAlign w:val="baseline"/>
                      <w:lang w:val="en-US" w:eastAsia="zh-CN"/>
                      <w14:textFill>
                        <w14:solidFill>
                          <w14:schemeClr w14:val="tx1"/>
                        </w14:solidFill>
                      </w14:textFill>
                    </w:rPr>
                    <w:t>《黄山市航瑞新材料有限公司生产废气治理工程设计方案》可知</w:t>
                  </w:r>
                  <w:r>
                    <w:rPr>
                      <w:rFonts w:hint="default" w:ascii="Times New Roman" w:hAnsi="Times New Roman" w:eastAsia="宋体" w:cs="Times New Roman"/>
                      <w:b w:val="0"/>
                      <w:bCs w:val="0"/>
                      <w:color w:val="auto"/>
                      <w:sz w:val="21"/>
                      <w:szCs w:val="21"/>
                      <w:vertAlign w:val="baseline"/>
                      <w:lang w:val="en-US" w:eastAsia="zh-CN"/>
                    </w:rPr>
                    <w:t>，“气动旋流净化塔+干式过滤箱+活性炭吸附浓缩+催化燃烧”处理设施整体处理效率为90%及以上，故现阶段废气治理设施由“</w:t>
                  </w:r>
                  <w:r>
                    <w:rPr>
                      <w:rFonts w:hint="default" w:ascii="Times New Roman" w:hAnsi="Times New Roman" w:eastAsia="宋体" w:cs="Times New Roman"/>
                      <w:color w:val="auto"/>
                      <w:kern w:val="2"/>
                      <w:sz w:val="21"/>
                      <w:szCs w:val="21"/>
                      <w:highlight w:val="none"/>
                      <w:lang w:val="en-US" w:eastAsia="zh-CN" w:bidi="ar-SA"/>
                    </w:rPr>
                    <w:t>气旋净化+二级活性炭吸附装置</w:t>
                  </w:r>
                  <w:r>
                    <w:rPr>
                      <w:rFonts w:hint="default" w:ascii="Times New Roman" w:hAnsi="Times New Roman" w:eastAsia="宋体" w:cs="Times New Roman"/>
                      <w:b w:val="0"/>
                      <w:bCs w:val="0"/>
                      <w:color w:val="auto"/>
                      <w:sz w:val="21"/>
                      <w:szCs w:val="21"/>
                      <w:vertAlign w:val="baseline"/>
                      <w:lang w:val="en-US" w:eastAsia="zh-CN"/>
                    </w:rPr>
                    <w:t>”调整为“气动旋流净化塔+干式过滤箱+活性炭吸附浓缩+催化燃烧”治理，属于废气治理设施提升，不属于重大变动。</w:t>
                  </w:r>
                </w:p>
              </w:tc>
            </w:tr>
          </w:tbl>
          <w:p w14:paraId="7D16FE5A">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both"/>
              <w:textAlignment w:val="auto"/>
              <w:outlineLvl w:val="9"/>
              <w:rPr>
                <w:rFonts w:hint="eastAsia" w:ascii="Times New Roman" w:hAnsi="Times New Roman" w:eastAsia="宋体" w:cs="Times New Roman"/>
                <w:b/>
                <w:bCs/>
                <w:color w:val="FF0000"/>
                <w:spacing w:val="0"/>
                <w:position w:val="0"/>
                <w:sz w:val="21"/>
                <w:szCs w:val="21"/>
                <w:lang w:val="en-US" w:eastAsia="zh-CN"/>
              </w:rPr>
            </w:pPr>
          </w:p>
          <w:p w14:paraId="571ABF2A">
            <w:pPr>
              <w:keepNext w:val="0"/>
              <w:keepLines w:val="0"/>
              <w:pageBreakBefore w:val="0"/>
              <w:numPr>
                <w:ilvl w:val="0"/>
                <w:numId w:val="0"/>
              </w:numPr>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2.4.2项目非重大变动说明</w:t>
            </w:r>
          </w:p>
          <w:p w14:paraId="1C4E03AB">
            <w:pPr>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根据《关于印发环评管理中部分行业建设项目重大变动清单的通知》（环办</w:t>
            </w:r>
            <w:r>
              <w:rPr>
                <w:rFonts w:hint="eastAsia" w:ascii="Times New Roman" w:hAnsi="Times New Roman" w:eastAsia="宋体" w:cs="Times New Roman"/>
                <w:b w:val="0"/>
                <w:bCs w:val="0"/>
                <w:color w:val="auto"/>
                <w:spacing w:val="0"/>
                <w:position w:val="0"/>
                <w:sz w:val="24"/>
                <w:szCs w:val="24"/>
                <w:lang w:val="en-US" w:eastAsia="zh-CN"/>
              </w:rPr>
              <w:t>〔</w:t>
            </w:r>
            <w:r>
              <w:rPr>
                <w:rFonts w:hint="default" w:ascii="Times New Roman" w:hAnsi="Times New Roman" w:eastAsia="宋体" w:cs="Times New Roman"/>
                <w:b w:val="0"/>
                <w:bCs w:val="0"/>
                <w:color w:val="auto"/>
                <w:spacing w:val="0"/>
                <w:position w:val="0"/>
                <w:sz w:val="24"/>
                <w:szCs w:val="24"/>
                <w:lang w:val="en-US" w:eastAsia="zh-CN"/>
              </w:rPr>
              <w:t>2015</w:t>
            </w:r>
            <w:r>
              <w:rPr>
                <w:rFonts w:hint="eastAsia" w:ascii="Times New Roman" w:hAnsi="Times New Roman" w:eastAsia="宋体" w:cs="Times New Roman"/>
                <w:b w:val="0"/>
                <w:bCs w:val="0"/>
                <w:color w:val="auto"/>
                <w:spacing w:val="0"/>
                <w:position w:val="0"/>
                <w:sz w:val="24"/>
                <w:szCs w:val="24"/>
                <w:lang w:val="en-US" w:eastAsia="zh-CN"/>
              </w:rPr>
              <w:t>〕</w:t>
            </w:r>
            <w:r>
              <w:rPr>
                <w:rFonts w:hint="default" w:ascii="Times New Roman" w:hAnsi="Times New Roman" w:eastAsia="宋体" w:cs="Times New Roman"/>
                <w:b w:val="0"/>
                <w:bCs w:val="0"/>
                <w:color w:val="auto"/>
                <w:spacing w:val="0"/>
                <w:position w:val="0"/>
                <w:sz w:val="24"/>
                <w:szCs w:val="24"/>
                <w:lang w:val="en-US" w:eastAsia="zh-CN"/>
              </w:rPr>
              <w:t>52号）</w:t>
            </w:r>
            <w:r>
              <w:rPr>
                <w:rFonts w:hint="eastAsia" w:ascii="Times New Roman" w:hAnsi="Times New Roman" w:cs="Times New Roman" w:eastAsiaTheme="minorEastAsia"/>
                <w:b w:val="0"/>
                <w:bCs w:val="0"/>
                <w:color w:val="auto"/>
                <w:sz w:val="24"/>
                <w:szCs w:val="24"/>
                <w:lang w:val="en-US" w:eastAsia="zh-CN" w:bidi="ar-SA"/>
              </w:rPr>
              <w:t>、</w:t>
            </w:r>
            <w:r>
              <w:rPr>
                <w:rFonts w:hint="default" w:ascii="Times New Roman" w:hAnsi="Times New Roman" w:eastAsia="宋体" w:cs="Times New Roman"/>
                <w:b w:val="0"/>
                <w:bCs w:val="0"/>
                <w:color w:val="auto"/>
                <w:spacing w:val="0"/>
                <w:position w:val="0"/>
                <w:sz w:val="24"/>
                <w:szCs w:val="24"/>
                <w:lang w:val="en-US" w:eastAsia="zh-CN"/>
              </w:rPr>
              <w:t>《污染影响类建设项目重大变动清单（试行）（环办环评函</w:t>
            </w:r>
            <w:r>
              <w:rPr>
                <w:rFonts w:hint="eastAsia" w:ascii="Times New Roman" w:hAnsi="Times New Roman" w:eastAsia="宋体" w:cs="Times New Roman"/>
                <w:b w:val="0"/>
                <w:bCs w:val="0"/>
                <w:color w:val="auto"/>
                <w:spacing w:val="0"/>
                <w:position w:val="0"/>
                <w:sz w:val="24"/>
                <w:szCs w:val="24"/>
                <w:lang w:val="en-US" w:eastAsia="zh-CN"/>
              </w:rPr>
              <w:t>〔</w:t>
            </w:r>
            <w:r>
              <w:rPr>
                <w:rFonts w:hint="default" w:ascii="Times New Roman" w:hAnsi="Times New Roman" w:eastAsia="宋体" w:cs="Times New Roman"/>
                <w:b w:val="0"/>
                <w:bCs w:val="0"/>
                <w:color w:val="auto"/>
                <w:spacing w:val="0"/>
                <w:position w:val="0"/>
                <w:sz w:val="24"/>
                <w:szCs w:val="24"/>
                <w:lang w:val="en-US" w:eastAsia="zh-CN"/>
              </w:rPr>
              <w:t>2020</w:t>
            </w:r>
            <w:r>
              <w:rPr>
                <w:rFonts w:hint="eastAsia" w:ascii="Times New Roman" w:hAnsi="Times New Roman" w:eastAsia="宋体" w:cs="Times New Roman"/>
                <w:b w:val="0"/>
                <w:bCs w:val="0"/>
                <w:color w:val="auto"/>
                <w:spacing w:val="0"/>
                <w:position w:val="0"/>
                <w:sz w:val="24"/>
                <w:szCs w:val="24"/>
                <w:lang w:val="en-US" w:eastAsia="zh-CN"/>
              </w:rPr>
              <w:t>〕</w:t>
            </w:r>
            <w:r>
              <w:rPr>
                <w:rFonts w:hint="default" w:ascii="Times New Roman" w:hAnsi="Times New Roman" w:eastAsia="宋体" w:cs="Times New Roman"/>
                <w:b w:val="0"/>
                <w:bCs w:val="0"/>
                <w:color w:val="auto"/>
                <w:spacing w:val="0"/>
                <w:position w:val="0"/>
                <w:sz w:val="24"/>
                <w:szCs w:val="24"/>
                <w:lang w:val="en-US" w:eastAsia="zh-CN"/>
              </w:rPr>
              <w:t>688号）》，本项目属于</w:t>
            </w:r>
            <w:r>
              <w:rPr>
                <w:rFonts w:hint="eastAsia" w:ascii="Times New Roman" w:hAnsi="Times New Roman" w:eastAsia="宋体" w:cs="Times New Roman"/>
                <w:b w:val="0"/>
                <w:bCs w:val="0"/>
                <w:color w:val="auto"/>
                <w:spacing w:val="0"/>
                <w:position w:val="0"/>
                <w:sz w:val="24"/>
                <w:szCs w:val="24"/>
                <w:lang w:val="en-US" w:eastAsia="zh-CN"/>
              </w:rPr>
              <w:t>塑料薄膜</w:t>
            </w:r>
            <w:r>
              <w:rPr>
                <w:rFonts w:hint="default" w:ascii="Times New Roman" w:hAnsi="Times New Roman" w:eastAsia="宋体" w:cs="Times New Roman"/>
                <w:b w:val="0"/>
                <w:bCs w:val="0"/>
                <w:color w:val="auto"/>
                <w:spacing w:val="0"/>
                <w:position w:val="0"/>
                <w:sz w:val="24"/>
                <w:szCs w:val="24"/>
                <w:lang w:val="en-US" w:eastAsia="zh-CN"/>
              </w:rPr>
              <w:t>制造，暂无行业建设项目重大变动清单</w:t>
            </w:r>
            <w:r>
              <w:rPr>
                <w:rFonts w:hint="eastAsia" w:ascii="Times New Roman" w:hAnsi="Times New Roman" w:eastAsia="宋体" w:cs="Times New Roman"/>
                <w:b w:val="0"/>
                <w:bCs w:val="0"/>
                <w:color w:val="auto"/>
                <w:spacing w:val="0"/>
                <w:position w:val="0"/>
                <w:sz w:val="24"/>
                <w:szCs w:val="24"/>
                <w:lang w:val="en-US" w:eastAsia="zh-CN"/>
              </w:rPr>
              <w:t>，按照《污染影响类建设项目重大变动清单（试行）》</w:t>
            </w:r>
            <w:r>
              <w:rPr>
                <w:rFonts w:hint="default" w:ascii="Times New Roman" w:hAnsi="Times New Roman" w:eastAsia="宋体" w:cs="Times New Roman"/>
                <w:b w:val="0"/>
                <w:bCs w:val="0"/>
                <w:color w:val="auto"/>
                <w:spacing w:val="0"/>
                <w:position w:val="0"/>
                <w:sz w:val="24"/>
                <w:szCs w:val="24"/>
                <w:lang w:val="en-US" w:eastAsia="zh-CN"/>
              </w:rPr>
              <w:t>，具体比对情况如下：</w:t>
            </w:r>
          </w:p>
          <w:p w14:paraId="186FD0E7">
            <w:pPr>
              <w:keepNext w:val="0"/>
              <w:keepLines w:val="0"/>
              <w:pageBreakBefore w:val="0"/>
              <w:kinsoku/>
              <w:wordWrap/>
              <w:overflowPunct/>
              <w:topLinePunct w:val="0"/>
              <w:autoSpaceDE/>
              <w:autoSpaceDN/>
              <w:bidi w:val="0"/>
              <w:adjustRightInd w:val="0"/>
              <w:snapToGrid w:val="0"/>
              <w:spacing w:after="0" w:line="360" w:lineRule="auto"/>
              <w:textAlignment w:val="auto"/>
              <w:outlineLvl w:val="9"/>
              <w:rPr>
                <w:rFonts w:hint="eastAsia" w:ascii="Times New Roman" w:hAnsi="Times New Roman" w:eastAsia="宋体" w:cs="Times New Roman"/>
                <w:b/>
                <w:bCs/>
                <w:color w:val="auto"/>
                <w:spacing w:val="0"/>
                <w:position w:val="0"/>
                <w:sz w:val="24"/>
                <w:szCs w:val="24"/>
                <w:lang w:val="en-US" w:eastAsia="zh-CN"/>
              </w:rPr>
            </w:pPr>
            <w:r>
              <w:rPr>
                <w:rFonts w:hint="eastAsia" w:ascii="Times New Roman" w:hAnsi="Times New Roman" w:eastAsia="宋体" w:cs="Times New Roman"/>
                <w:b/>
                <w:bCs/>
                <w:color w:val="auto"/>
                <w:spacing w:val="0"/>
                <w:position w:val="0"/>
                <w:sz w:val="24"/>
                <w:szCs w:val="24"/>
                <w:lang w:val="en-US" w:eastAsia="zh-CN"/>
              </w:rPr>
              <w:t>性质：</w:t>
            </w:r>
          </w:p>
          <w:p w14:paraId="279C47F8">
            <w:pPr>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eastAsia="宋体" w:cs="Times New Roman"/>
                <w:b w:val="0"/>
                <w:bCs w:val="0"/>
                <w:color w:val="auto"/>
                <w:spacing w:val="0"/>
                <w:position w:val="0"/>
                <w:sz w:val="24"/>
                <w:szCs w:val="24"/>
                <w:lang w:val="en-US" w:eastAsia="zh-CN"/>
              </w:rPr>
            </w:pPr>
            <w:r>
              <w:rPr>
                <w:rFonts w:hint="eastAsia" w:ascii="Times New Roman" w:hAnsi="Times New Roman" w:eastAsia="宋体" w:cs="Times New Roman"/>
                <w:b w:val="0"/>
                <w:bCs w:val="0"/>
                <w:color w:val="auto"/>
                <w:spacing w:val="0"/>
                <w:position w:val="0"/>
                <w:sz w:val="24"/>
                <w:szCs w:val="24"/>
                <w:lang w:val="en-US" w:eastAsia="zh-CN"/>
              </w:rPr>
              <w:t>（一）建设项目开发、使用功能发生变化的。</w:t>
            </w:r>
          </w:p>
          <w:p w14:paraId="63E90E54">
            <w:pPr>
              <w:keepNext w:val="0"/>
              <w:keepLines w:val="0"/>
              <w:pageBreakBefore w:val="0"/>
              <w:kinsoku/>
              <w:wordWrap/>
              <w:overflowPunct/>
              <w:topLinePunct w:val="0"/>
              <w:autoSpaceDE/>
              <w:autoSpaceDN/>
              <w:bidi w:val="0"/>
              <w:adjustRightInd w:val="0"/>
              <w:snapToGrid w:val="0"/>
              <w:spacing w:after="0" w:line="360" w:lineRule="auto"/>
              <w:ind w:firstLine="482" w:firstLineChars="200"/>
              <w:textAlignment w:val="auto"/>
              <w:outlineLvl w:val="9"/>
              <w:rPr>
                <w:rFonts w:hint="eastAsia" w:ascii="Times New Roman" w:hAnsi="Times New Roman" w:eastAsia="宋体" w:cs="Times New Roman"/>
                <w:b/>
                <w:bCs/>
                <w:color w:val="auto"/>
                <w:spacing w:val="0"/>
                <w:position w:val="0"/>
                <w:sz w:val="24"/>
                <w:szCs w:val="24"/>
                <w:lang w:val="en-US" w:eastAsia="zh-CN"/>
              </w:rPr>
            </w:pPr>
            <w:r>
              <w:rPr>
                <w:rFonts w:hint="eastAsia" w:ascii="Times New Roman" w:hAnsi="Times New Roman" w:eastAsia="宋体" w:cs="Times New Roman"/>
                <w:b/>
                <w:bCs/>
                <w:color w:val="auto"/>
                <w:spacing w:val="0"/>
                <w:position w:val="0"/>
                <w:sz w:val="24"/>
                <w:szCs w:val="24"/>
                <w:lang w:val="en-US" w:eastAsia="zh-CN"/>
              </w:rPr>
              <w:t>项目现阶段产品为PVC保护膜，开发、使用功能未发生变化，不属于重大变动。</w:t>
            </w:r>
          </w:p>
          <w:p w14:paraId="3612C8D8">
            <w:pPr>
              <w:keepNext w:val="0"/>
              <w:keepLines w:val="0"/>
              <w:pageBreakBefore w:val="0"/>
              <w:kinsoku/>
              <w:wordWrap/>
              <w:overflowPunct/>
              <w:topLinePunct w:val="0"/>
              <w:autoSpaceDE/>
              <w:autoSpaceDN/>
              <w:bidi w:val="0"/>
              <w:adjustRightInd w:val="0"/>
              <w:snapToGrid w:val="0"/>
              <w:spacing w:after="0" w:line="360" w:lineRule="auto"/>
              <w:textAlignment w:val="auto"/>
              <w:outlineLvl w:val="9"/>
              <w:rPr>
                <w:rFonts w:hint="default" w:ascii="Times New Roman" w:hAnsi="Times New Roman" w:eastAsia="宋体" w:cs="Times New Roman"/>
                <w:b/>
                <w:bCs/>
                <w:color w:val="auto"/>
                <w:spacing w:val="0"/>
                <w:position w:val="0"/>
                <w:sz w:val="24"/>
                <w:szCs w:val="24"/>
                <w:lang w:val="en-US" w:eastAsia="zh-CN"/>
              </w:rPr>
            </w:pPr>
            <w:r>
              <w:rPr>
                <w:rFonts w:hint="eastAsia" w:ascii="Times New Roman" w:hAnsi="Times New Roman" w:eastAsia="宋体" w:cs="Times New Roman"/>
                <w:b/>
                <w:bCs/>
                <w:color w:val="auto"/>
                <w:spacing w:val="0"/>
                <w:position w:val="0"/>
                <w:sz w:val="24"/>
                <w:szCs w:val="24"/>
                <w:lang w:val="en-US" w:eastAsia="zh-CN"/>
              </w:rPr>
              <w:t>规模</w:t>
            </w:r>
            <w:r>
              <w:rPr>
                <w:rFonts w:hint="default" w:ascii="Times New Roman" w:hAnsi="Times New Roman" w:eastAsia="宋体" w:cs="Times New Roman"/>
                <w:b/>
                <w:bCs/>
                <w:color w:val="auto"/>
                <w:spacing w:val="0"/>
                <w:position w:val="0"/>
                <w:sz w:val="24"/>
                <w:szCs w:val="24"/>
                <w:lang w:val="en-US" w:eastAsia="zh-CN"/>
              </w:rPr>
              <w:t>：</w:t>
            </w:r>
          </w:p>
          <w:p w14:paraId="32C93C58">
            <w:pPr>
              <w:keepNext w:val="0"/>
              <w:keepLines w:val="0"/>
              <w:pageBreakBefore w:val="0"/>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（二）生产、处置或储存能力增大30%及以上的。</w:t>
            </w:r>
          </w:p>
          <w:p w14:paraId="31180158">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outlineLvl w:val="9"/>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本项目环评设计产能为年产1.2亿平方米PVC保护膜</w:t>
            </w:r>
            <w:r>
              <w:rPr>
                <w:rFonts w:hint="eastAsia" w:ascii="Times New Roman" w:hAnsi="Times New Roman" w:eastAsia="宋体" w:cs="Times New Roman"/>
                <w:b/>
                <w:bCs/>
                <w:color w:val="auto"/>
                <w:spacing w:val="0"/>
                <w:position w:val="0"/>
                <w:sz w:val="24"/>
                <w:szCs w:val="24"/>
                <w:lang w:val="en-US" w:eastAsia="zh-CN"/>
              </w:rPr>
              <w:t>，</w:t>
            </w:r>
            <w:r>
              <w:rPr>
                <w:rFonts w:hint="default" w:ascii="Times New Roman" w:hAnsi="Times New Roman" w:eastAsia="宋体" w:cs="Times New Roman"/>
                <w:b/>
                <w:bCs/>
                <w:color w:val="auto"/>
                <w:spacing w:val="0"/>
                <w:position w:val="0"/>
                <w:sz w:val="24"/>
                <w:szCs w:val="24"/>
                <w:lang w:val="en-US" w:eastAsia="zh-CN"/>
              </w:rPr>
              <w:t>现阶段实际建设产能为年产4000万平方米PVC保护膜</w:t>
            </w:r>
            <w:r>
              <w:rPr>
                <w:rFonts w:hint="eastAsia" w:ascii="Times New Roman" w:hAnsi="Times New Roman" w:eastAsia="宋体" w:cs="Times New Roman"/>
                <w:b/>
                <w:bCs/>
                <w:color w:val="auto"/>
                <w:spacing w:val="0"/>
                <w:position w:val="0"/>
                <w:sz w:val="24"/>
                <w:szCs w:val="24"/>
                <w:lang w:val="en-US" w:eastAsia="zh-CN"/>
              </w:rPr>
              <w:t>，</w:t>
            </w:r>
            <w:r>
              <w:rPr>
                <w:rFonts w:hint="default" w:ascii="Times New Roman" w:hAnsi="Times New Roman" w:eastAsia="宋体" w:cs="Times New Roman"/>
                <w:b/>
                <w:bCs/>
                <w:color w:val="auto"/>
                <w:spacing w:val="0"/>
                <w:position w:val="0"/>
                <w:sz w:val="24"/>
                <w:szCs w:val="24"/>
                <w:lang w:val="en-US" w:eastAsia="zh-CN"/>
              </w:rPr>
              <w:t>生产能力未增加，不属于重大变动。</w:t>
            </w:r>
          </w:p>
          <w:p w14:paraId="6423C991">
            <w:pPr>
              <w:keepNext w:val="0"/>
              <w:keepLines w:val="0"/>
              <w:pageBreakBefore w:val="0"/>
              <w:widowControl/>
              <w:kinsoku/>
              <w:wordWrap/>
              <w:overflowPunct/>
              <w:topLinePunct w:val="0"/>
              <w:autoSpaceDE/>
              <w:autoSpaceDN/>
              <w:bidi w:val="0"/>
              <w:adjustRightInd w:val="0"/>
              <w:snapToGrid w:val="0"/>
              <w:spacing w:after="0" w:line="360" w:lineRule="auto"/>
              <w:textAlignment w:val="auto"/>
              <w:outlineLvl w:val="9"/>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建设地点：</w:t>
            </w:r>
          </w:p>
          <w:p w14:paraId="078BECB8">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bCs/>
                <w:color w:val="auto"/>
                <w:spacing w:val="0"/>
                <w:position w:val="0"/>
                <w:sz w:val="24"/>
                <w:szCs w:val="24"/>
                <w:lang w:val="en-US" w:eastAsia="zh-CN"/>
              </w:rPr>
            </w:pPr>
            <w:bookmarkStart w:id="14" w:name="_Toc22276"/>
            <w:r>
              <w:rPr>
                <w:rFonts w:hint="default" w:ascii="Times New Roman" w:hAnsi="Times New Roman" w:eastAsia="宋体" w:cs="Times New Roman"/>
                <w:b w:val="0"/>
                <w:bCs w:val="0"/>
                <w:color w:val="auto"/>
                <w:spacing w:val="0"/>
                <w:position w:val="0"/>
                <w:sz w:val="24"/>
                <w:szCs w:val="24"/>
                <w:lang w:val="en-US" w:eastAsia="zh-CN"/>
              </w:rPr>
              <w:t>（三）生产、处置或储存能力增大，导致废水第一类污染物排放量增加的。</w:t>
            </w:r>
            <w:bookmarkEnd w:id="14"/>
          </w:p>
          <w:p w14:paraId="29567B36">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outlineLvl w:val="9"/>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本项目不涉及废水第一类污染物。</w:t>
            </w:r>
          </w:p>
          <w:p w14:paraId="3EF3084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四）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p w14:paraId="319E31FB">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outlineLvl w:val="9"/>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本项目所在区域属于环境质量达标区，建设项目生产、处置或储存能力未增大，不属于重大变动</w:t>
            </w:r>
            <w:r>
              <w:rPr>
                <w:rFonts w:hint="eastAsia" w:ascii="Times New Roman" w:hAnsi="Times New Roman" w:eastAsia="宋体" w:cs="Times New Roman"/>
                <w:b/>
                <w:bCs/>
                <w:color w:val="auto"/>
                <w:spacing w:val="0"/>
                <w:position w:val="0"/>
                <w:sz w:val="24"/>
                <w:szCs w:val="24"/>
                <w:lang w:val="en-US" w:eastAsia="zh-CN"/>
              </w:rPr>
              <w:t>。</w:t>
            </w:r>
          </w:p>
          <w:p w14:paraId="60309FF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（五）重新选址；在原厂址附近调整（包括总平面布置变化）导致环境防护距离范围变化且新增敏感点的</w:t>
            </w:r>
            <w:r>
              <w:rPr>
                <w:rFonts w:hint="eastAsia" w:ascii="Times New Roman" w:hAnsi="Times New Roman" w:eastAsia="宋体" w:cs="Times New Roman"/>
                <w:b w:val="0"/>
                <w:bCs w:val="0"/>
                <w:color w:val="auto"/>
                <w:spacing w:val="0"/>
                <w:position w:val="0"/>
                <w:sz w:val="24"/>
                <w:szCs w:val="24"/>
                <w:lang w:val="en-US" w:eastAsia="zh-CN"/>
              </w:rPr>
              <w:t>。</w:t>
            </w:r>
          </w:p>
          <w:p w14:paraId="2BB13E97">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outlineLvl w:val="9"/>
              <w:rPr>
                <w:rFonts w:hint="default" w:ascii="Times New Roman" w:hAnsi="Times New Roman" w:eastAsia="宋体" w:cs="Times New Roman"/>
                <w:b/>
                <w:bCs/>
                <w:color w:val="FF0000"/>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项目建设地址未发生变化</w:t>
            </w:r>
            <w:r>
              <w:rPr>
                <w:rFonts w:hint="eastAsia" w:ascii="Times New Roman" w:hAnsi="Times New Roman" w:eastAsia="宋体" w:cs="Times New Roman"/>
                <w:b/>
                <w:bCs/>
                <w:color w:val="auto"/>
                <w:spacing w:val="0"/>
                <w:position w:val="0"/>
                <w:sz w:val="24"/>
                <w:szCs w:val="24"/>
                <w:lang w:val="en-US" w:eastAsia="zh-CN"/>
              </w:rPr>
              <w:t>。</w:t>
            </w:r>
            <w:r>
              <w:rPr>
                <w:rFonts w:hint="default" w:ascii="Times New Roman" w:hAnsi="Times New Roman" w:eastAsia="宋体" w:cs="Times New Roman"/>
                <w:b/>
                <w:bCs/>
                <w:color w:val="000000" w:themeColor="text1"/>
                <w:spacing w:val="0"/>
                <w:position w:val="0"/>
                <w:sz w:val="24"/>
                <w:szCs w:val="24"/>
                <w:highlight w:val="none"/>
                <w:lang w:val="en-US" w:eastAsia="zh-CN"/>
                <w14:textFill>
                  <w14:solidFill>
                    <w14:schemeClr w14:val="tx1"/>
                  </w14:solidFill>
                </w14:textFill>
              </w:rPr>
              <w:t>危废暂存间位置发生</w:t>
            </w:r>
            <w:r>
              <w:rPr>
                <w:rFonts w:hint="eastAsia" w:ascii="Times New Roman" w:hAnsi="Times New Roman" w:eastAsia="宋体" w:cs="Times New Roman"/>
                <w:b/>
                <w:bCs/>
                <w:color w:val="000000" w:themeColor="text1"/>
                <w:spacing w:val="0"/>
                <w:position w:val="0"/>
                <w:sz w:val="24"/>
                <w:szCs w:val="24"/>
                <w:highlight w:val="none"/>
                <w:lang w:val="en-US" w:eastAsia="zh-CN"/>
                <w14:textFill>
                  <w14:solidFill>
                    <w14:schemeClr w14:val="tx1"/>
                  </w14:solidFill>
                </w14:textFill>
              </w:rPr>
              <w:t>调整</w:t>
            </w:r>
            <w:r>
              <w:rPr>
                <w:rFonts w:hint="default" w:ascii="Times New Roman" w:hAnsi="Times New Roman" w:eastAsia="宋体" w:cs="Times New Roman"/>
                <w:b/>
                <w:bCs/>
                <w:color w:val="000000" w:themeColor="text1"/>
                <w:spacing w:val="0"/>
                <w:position w:val="0"/>
                <w:sz w:val="24"/>
                <w:szCs w:val="24"/>
                <w:highlight w:val="none"/>
                <w:lang w:val="en-US" w:eastAsia="zh-CN"/>
                <w14:textFill>
                  <w14:solidFill>
                    <w14:schemeClr w14:val="tx1"/>
                  </w14:solidFill>
                </w14:textFill>
              </w:rPr>
              <w:t>，环评</w:t>
            </w:r>
            <w:r>
              <w:rPr>
                <w:rFonts w:hint="eastAsia" w:ascii="Times New Roman" w:hAnsi="Times New Roman" w:eastAsia="宋体" w:cs="Times New Roman"/>
                <w:b/>
                <w:bCs/>
                <w:color w:val="000000" w:themeColor="text1"/>
                <w:spacing w:val="0"/>
                <w:position w:val="0"/>
                <w:sz w:val="24"/>
                <w:szCs w:val="24"/>
                <w:highlight w:val="none"/>
                <w:lang w:val="en-US" w:eastAsia="zh-CN"/>
                <w14:textFill>
                  <w14:solidFill>
                    <w14:schemeClr w14:val="tx1"/>
                  </w14:solidFill>
                </w14:textFill>
              </w:rPr>
              <w:t>设计危废暂存间位于厂区西南侧的2#仓库，实际位于2#生产车间一层西北角，</w:t>
            </w:r>
            <w:r>
              <w:rPr>
                <w:rFonts w:hint="default" w:ascii="Times New Roman" w:hAnsi="Times New Roman" w:eastAsia="宋体" w:cs="Times New Roman"/>
                <w:b/>
                <w:bCs/>
                <w:color w:val="auto"/>
                <w:spacing w:val="0"/>
                <w:position w:val="0"/>
                <w:sz w:val="24"/>
                <w:szCs w:val="24"/>
                <w:lang w:val="en-US" w:eastAsia="zh-CN"/>
              </w:rPr>
              <w:t>危废暂存间</w:t>
            </w:r>
            <w:r>
              <w:rPr>
                <w:rFonts w:hint="eastAsia" w:ascii="Times New Roman" w:hAnsi="Times New Roman" w:eastAsia="宋体" w:cs="Times New Roman"/>
                <w:b/>
                <w:bCs/>
                <w:color w:val="auto"/>
                <w:spacing w:val="0"/>
                <w:position w:val="0"/>
                <w:sz w:val="24"/>
                <w:szCs w:val="24"/>
                <w:lang w:val="en-US" w:eastAsia="zh-CN"/>
              </w:rPr>
              <w:t>位置调整不会导致防护距离内新增敏感点</w:t>
            </w:r>
            <w:r>
              <w:rPr>
                <w:rFonts w:hint="default" w:ascii="Times New Roman" w:hAnsi="Times New Roman" w:eastAsia="宋体" w:cs="Times New Roman"/>
                <w:b/>
                <w:bCs/>
                <w:color w:val="auto"/>
                <w:spacing w:val="0"/>
                <w:position w:val="0"/>
                <w:sz w:val="24"/>
                <w:szCs w:val="24"/>
                <w:lang w:val="en-US" w:eastAsia="zh-CN"/>
              </w:rPr>
              <w:t>，不属于重大变动。</w:t>
            </w:r>
          </w:p>
          <w:p w14:paraId="4D4E5E7C">
            <w:pPr>
              <w:keepNext w:val="0"/>
              <w:keepLines w:val="0"/>
              <w:pageBreakBefore w:val="0"/>
              <w:widowControl/>
              <w:kinsoku/>
              <w:wordWrap/>
              <w:overflowPunct/>
              <w:topLinePunct w:val="0"/>
              <w:autoSpaceDE/>
              <w:autoSpaceDN/>
              <w:bidi w:val="0"/>
              <w:adjustRightInd w:val="0"/>
              <w:snapToGrid w:val="0"/>
              <w:spacing w:after="0" w:line="360" w:lineRule="auto"/>
              <w:textAlignment w:val="auto"/>
              <w:outlineLvl w:val="9"/>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rPr>
              <w:t>生产工艺</w:t>
            </w:r>
            <w:r>
              <w:rPr>
                <w:rFonts w:hint="default" w:ascii="Times New Roman" w:hAnsi="Times New Roman" w:eastAsia="宋体" w:cs="Times New Roman"/>
                <w:b/>
                <w:bCs/>
                <w:color w:val="auto"/>
                <w:sz w:val="24"/>
                <w:szCs w:val="24"/>
                <w:lang w:eastAsia="zh-CN"/>
              </w:rPr>
              <w:t>：</w:t>
            </w:r>
          </w:p>
          <w:p w14:paraId="4317AD5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（六）新增产品品种或生产工艺（含主要生产装置、设备及配套设施）、主要原辅材料、燃料变化，导致以下情形之一：</w:t>
            </w:r>
          </w:p>
          <w:p w14:paraId="4CDD605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（1）新增排放污染物种类的（毒性、挥发性降低的除外）；</w:t>
            </w:r>
          </w:p>
          <w:p w14:paraId="4CB4BC64">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（2）位于环境质量不达标区的建设项目相应污染物排放量增加的；</w:t>
            </w:r>
          </w:p>
          <w:p w14:paraId="2A66BB3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（3）废水第一类污染物排放量增加的；</w:t>
            </w:r>
          </w:p>
          <w:p w14:paraId="06A42FD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（4）其他污染物排放量增加10%及以上的。</w:t>
            </w:r>
          </w:p>
          <w:p w14:paraId="1B92DCD7">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outlineLvl w:val="9"/>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项目</w:t>
            </w:r>
            <w:r>
              <w:rPr>
                <w:rFonts w:hint="eastAsia" w:ascii="Times New Roman" w:hAnsi="Times New Roman" w:eastAsia="宋体" w:cs="Times New Roman"/>
                <w:b/>
                <w:bCs/>
                <w:color w:val="auto"/>
                <w:spacing w:val="0"/>
                <w:position w:val="0"/>
                <w:sz w:val="24"/>
                <w:szCs w:val="24"/>
                <w:lang w:val="en-US" w:eastAsia="zh-CN"/>
              </w:rPr>
              <w:t>现阶段</w:t>
            </w:r>
            <w:r>
              <w:rPr>
                <w:rFonts w:hint="default" w:ascii="Times New Roman" w:hAnsi="Times New Roman" w:eastAsia="宋体" w:cs="Times New Roman"/>
                <w:b/>
                <w:bCs/>
                <w:color w:val="auto"/>
                <w:spacing w:val="0"/>
                <w:position w:val="0"/>
                <w:sz w:val="24"/>
                <w:szCs w:val="24"/>
                <w:lang w:val="en-US" w:eastAsia="zh-CN"/>
              </w:rPr>
              <w:t>主要原辅材料无变化</w:t>
            </w:r>
            <w:r>
              <w:rPr>
                <w:rFonts w:hint="eastAsia" w:ascii="Times New Roman" w:hAnsi="Times New Roman" w:eastAsia="宋体" w:cs="Times New Roman"/>
                <w:b/>
                <w:bCs/>
                <w:color w:val="auto"/>
                <w:spacing w:val="0"/>
                <w:position w:val="0"/>
                <w:sz w:val="24"/>
                <w:szCs w:val="24"/>
                <w:lang w:val="en-US" w:eastAsia="zh-CN"/>
              </w:rPr>
              <w:t>，生产工艺流程去除固化工序，其余未发生变动。项目未新增污染物，</w:t>
            </w:r>
            <w:r>
              <w:rPr>
                <w:rFonts w:hint="default" w:ascii="Times New Roman" w:hAnsi="Times New Roman" w:eastAsia="宋体" w:cs="Times New Roman"/>
                <w:b/>
                <w:bCs/>
                <w:color w:val="auto"/>
                <w:spacing w:val="0"/>
                <w:position w:val="0"/>
                <w:sz w:val="24"/>
                <w:szCs w:val="24"/>
                <w:lang w:val="en-US" w:eastAsia="zh-CN"/>
              </w:rPr>
              <w:t>不属于重大变动。</w:t>
            </w:r>
          </w:p>
          <w:p w14:paraId="3478D34D">
            <w:pPr>
              <w:keepNext w:val="0"/>
              <w:keepLines w:val="0"/>
              <w:pageBreakBefore w:val="0"/>
              <w:widowControl/>
              <w:kinsoku/>
              <w:wordWrap/>
              <w:overflowPunct/>
              <w:topLinePunct w:val="0"/>
              <w:autoSpaceDE/>
              <w:autoSpaceDN/>
              <w:bidi w:val="0"/>
              <w:adjustRightInd w:val="0"/>
              <w:snapToGrid w:val="0"/>
              <w:spacing w:after="0" w:line="360" w:lineRule="auto"/>
              <w:textAlignment w:val="auto"/>
              <w:outlineLvl w:val="9"/>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环境保护措施：</w:t>
            </w:r>
          </w:p>
          <w:p w14:paraId="746DCCA7">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（七）物料运输、装卸、贮存方式变化，导致大气污染物无组织排放量增加10%及以上的。</w:t>
            </w:r>
          </w:p>
          <w:p w14:paraId="49ECF105">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2" w:firstLineChars="200"/>
              <w:textAlignment w:val="auto"/>
              <w:outlineLvl w:val="9"/>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本项目物料运输、装卸、贮存方式未发生变化</w:t>
            </w:r>
            <w:r>
              <w:rPr>
                <w:rFonts w:hint="eastAsia" w:ascii="Times New Roman" w:hAnsi="Times New Roman" w:eastAsia="宋体" w:cs="Times New Roman"/>
                <w:b/>
                <w:bCs/>
                <w:color w:val="auto"/>
                <w:spacing w:val="0"/>
                <w:position w:val="0"/>
                <w:sz w:val="24"/>
                <w:szCs w:val="24"/>
                <w:lang w:val="en-US" w:eastAsia="zh-CN"/>
              </w:rPr>
              <w:t>。</w:t>
            </w:r>
          </w:p>
          <w:p w14:paraId="650B9463">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textAlignment w:val="auto"/>
              <w:outlineLvl w:val="9"/>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环境保护措施：</w:t>
            </w:r>
          </w:p>
          <w:p w14:paraId="783D1A3D">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（八）废气、废水污染防治措施变化，导致第6条中所列情形之一（废气无组织排放改为有组织排放、污染防治措施强化或改进的除外）或大气污染物无组织排放量增加10%及以上的</w:t>
            </w:r>
            <w:r>
              <w:rPr>
                <w:rFonts w:hint="eastAsia" w:ascii="Times New Roman" w:hAnsi="Times New Roman" w:eastAsia="宋体" w:cs="Times New Roman"/>
                <w:b w:val="0"/>
                <w:bCs w:val="0"/>
                <w:color w:val="auto"/>
                <w:spacing w:val="0"/>
                <w:position w:val="0"/>
                <w:sz w:val="24"/>
                <w:szCs w:val="24"/>
                <w:lang w:val="en-US" w:eastAsia="zh-CN"/>
              </w:rPr>
              <w:t>。</w:t>
            </w:r>
          </w:p>
          <w:p w14:paraId="1B801C1F">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2" w:firstLineChars="200"/>
              <w:textAlignment w:val="auto"/>
              <w:outlineLvl w:val="9"/>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项目废水处理工艺无变化；根据《黄山市航瑞新材料有限公司年产1.2亿平方米PVC保护膜项目环境影响报告表》可知，废气治理设施“气旋净化+二级活性炭吸附装置”处理效率为90%。根据</w:t>
            </w:r>
            <w:r>
              <w:rPr>
                <w:rFonts w:hint="default" w:ascii="Times New Roman" w:hAnsi="Times New Roman" w:eastAsia="宋体" w:cs="Times New Roman"/>
                <w:b/>
                <w:bCs/>
                <w:color w:val="auto"/>
                <w:spacing w:val="0"/>
                <w:position w:val="0"/>
                <w:sz w:val="24"/>
                <w:szCs w:val="24"/>
                <w:highlight w:val="none"/>
                <w:lang w:val="en-US" w:eastAsia="zh-CN"/>
              </w:rPr>
              <w:t>《黄山市航瑞新材料有限公司生产废气治理工程设计方案》</w:t>
            </w:r>
            <w:r>
              <w:rPr>
                <w:rFonts w:hint="default" w:ascii="Times New Roman" w:hAnsi="Times New Roman" w:eastAsia="宋体" w:cs="Times New Roman"/>
                <w:b/>
                <w:bCs/>
                <w:color w:val="000000" w:themeColor="text1"/>
                <w:spacing w:val="0"/>
                <w:position w:val="0"/>
                <w:sz w:val="24"/>
                <w:szCs w:val="24"/>
                <w:highlight w:val="none"/>
                <w:lang w:val="en-US" w:eastAsia="zh-CN"/>
                <w14:textFill>
                  <w14:solidFill>
                    <w14:schemeClr w14:val="tx1"/>
                  </w14:solidFill>
                </w14:textFill>
              </w:rPr>
              <w:t>可知，</w:t>
            </w:r>
            <w:r>
              <w:rPr>
                <w:rFonts w:hint="default" w:ascii="Times New Roman" w:hAnsi="Times New Roman" w:eastAsia="宋体" w:cs="Times New Roman"/>
                <w:b/>
                <w:bCs/>
                <w:color w:val="auto"/>
                <w:spacing w:val="0"/>
                <w:position w:val="0"/>
                <w:sz w:val="24"/>
                <w:szCs w:val="24"/>
                <w:lang w:val="en-US" w:eastAsia="zh-CN"/>
              </w:rPr>
              <w:t>“气动旋流净化塔+干式过滤箱+活性炭吸附浓缩+催化燃烧”处理设施整体处理效率为90%及以上，故现阶段废气治理设施由“气旋净化+二级活性炭吸附装置”调整为“气动旋流净化塔+干式过滤箱+活性炭吸附浓缩+催化燃烧”治理，属于</w:t>
            </w:r>
            <w:r>
              <w:rPr>
                <w:rFonts w:hint="eastAsia" w:ascii="Times New Roman" w:hAnsi="Times New Roman" w:eastAsia="宋体" w:cs="Times New Roman"/>
                <w:b/>
                <w:bCs/>
                <w:color w:val="auto"/>
                <w:spacing w:val="0"/>
                <w:position w:val="0"/>
                <w:sz w:val="24"/>
                <w:szCs w:val="24"/>
                <w:lang w:val="en-US" w:eastAsia="zh-CN"/>
              </w:rPr>
              <w:t>废气治理</w:t>
            </w:r>
            <w:r>
              <w:rPr>
                <w:rFonts w:hint="default" w:ascii="Times New Roman" w:hAnsi="Times New Roman" w:eastAsia="宋体" w:cs="Times New Roman"/>
                <w:b/>
                <w:bCs/>
                <w:color w:val="auto"/>
                <w:spacing w:val="0"/>
                <w:position w:val="0"/>
                <w:sz w:val="24"/>
                <w:szCs w:val="24"/>
                <w:lang w:val="en-US" w:eastAsia="zh-CN"/>
              </w:rPr>
              <w:t>设施提升，不属于重大变动</w:t>
            </w:r>
            <w:r>
              <w:rPr>
                <w:rFonts w:hint="eastAsia" w:ascii="Times New Roman" w:hAnsi="Times New Roman" w:eastAsia="宋体" w:cs="Times New Roman"/>
                <w:b/>
                <w:bCs/>
                <w:color w:val="auto"/>
                <w:spacing w:val="0"/>
                <w:position w:val="0"/>
                <w:sz w:val="24"/>
                <w:szCs w:val="24"/>
                <w:lang w:val="en-US" w:eastAsia="zh-CN"/>
              </w:rPr>
              <w:t>。</w:t>
            </w:r>
          </w:p>
          <w:p w14:paraId="762A4C4A">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（九）新增废水直接排放口；废水由间接排放改为直接排放；废水直接排放口位置变化，导致不利环境影响加重的。</w:t>
            </w:r>
          </w:p>
          <w:p w14:paraId="4911488E">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2" w:firstLineChars="200"/>
              <w:textAlignment w:val="auto"/>
              <w:outlineLvl w:val="9"/>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项目仅排放生活污水，生活污水经化粪池处理后通过园区污水管网送歙县循环经济园区污水处理厂（鼎元污水处理有限公司）处理达标后进入歙县污水处理厂，</w:t>
            </w:r>
            <w:r>
              <w:rPr>
                <w:rFonts w:hint="eastAsia" w:ascii="Times New Roman" w:hAnsi="Times New Roman" w:eastAsia="宋体" w:cs="Times New Roman"/>
                <w:b/>
                <w:bCs/>
                <w:color w:val="auto"/>
                <w:spacing w:val="0"/>
                <w:position w:val="0"/>
                <w:sz w:val="24"/>
                <w:szCs w:val="24"/>
                <w:lang w:val="en-US" w:eastAsia="zh-CN"/>
              </w:rPr>
              <w:t>排放方式</w:t>
            </w:r>
            <w:r>
              <w:rPr>
                <w:rFonts w:hint="default" w:ascii="Times New Roman" w:hAnsi="Times New Roman" w:eastAsia="宋体" w:cs="Times New Roman"/>
                <w:b/>
                <w:bCs/>
                <w:color w:val="auto"/>
                <w:spacing w:val="0"/>
                <w:position w:val="0"/>
                <w:sz w:val="24"/>
                <w:szCs w:val="24"/>
                <w:lang w:val="en-US" w:eastAsia="zh-CN"/>
              </w:rPr>
              <w:t>未发生变化</w:t>
            </w:r>
            <w:r>
              <w:rPr>
                <w:rFonts w:hint="eastAsia" w:ascii="Times New Roman" w:hAnsi="Times New Roman" w:eastAsia="宋体" w:cs="Times New Roman"/>
                <w:b/>
                <w:bCs/>
                <w:color w:val="auto"/>
                <w:spacing w:val="0"/>
                <w:position w:val="0"/>
                <w:sz w:val="24"/>
                <w:szCs w:val="24"/>
                <w:lang w:val="en-US" w:eastAsia="zh-CN"/>
              </w:rPr>
              <w:t>。</w:t>
            </w:r>
          </w:p>
          <w:p w14:paraId="3E6DFC01">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eastAsia="宋体" w:cs="Times New Roman"/>
                <w:b w:val="0"/>
                <w:bCs w:val="0"/>
                <w:color w:val="auto"/>
                <w:spacing w:val="0"/>
                <w:position w:val="0"/>
                <w:sz w:val="24"/>
                <w:szCs w:val="24"/>
                <w:lang w:val="en-US" w:eastAsia="zh-CN"/>
              </w:rPr>
            </w:pPr>
            <w:r>
              <w:rPr>
                <w:rFonts w:hint="eastAsia" w:ascii="Times New Roman" w:hAnsi="Times New Roman" w:eastAsia="宋体" w:cs="Times New Roman"/>
                <w:b w:val="0"/>
                <w:bCs w:val="0"/>
                <w:color w:val="auto"/>
                <w:spacing w:val="0"/>
                <w:position w:val="0"/>
                <w:sz w:val="24"/>
                <w:szCs w:val="24"/>
                <w:lang w:val="en-US" w:eastAsia="zh-CN"/>
              </w:rPr>
              <w:t>（十）新增废气主要排放口（废气无组织排放改为有组织排放的除外）；主要排放口排气筒高度降低10%及以上的。</w:t>
            </w:r>
          </w:p>
          <w:p w14:paraId="45EDCCA0">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2" w:firstLineChars="200"/>
              <w:textAlignment w:val="auto"/>
              <w:outlineLvl w:val="9"/>
              <w:rPr>
                <w:rFonts w:hint="eastAsia" w:ascii="Times New Roman" w:hAnsi="Times New Roman" w:eastAsia="宋体" w:cs="Times New Roman"/>
                <w:b/>
                <w:bCs/>
                <w:color w:val="auto"/>
                <w:spacing w:val="0"/>
                <w:position w:val="0"/>
                <w:sz w:val="24"/>
                <w:szCs w:val="24"/>
                <w:lang w:val="en-US" w:eastAsia="zh-CN"/>
              </w:rPr>
            </w:pPr>
            <w:r>
              <w:rPr>
                <w:rFonts w:hint="eastAsia" w:ascii="Times New Roman" w:hAnsi="Times New Roman" w:eastAsia="宋体" w:cs="Times New Roman"/>
                <w:b/>
                <w:bCs/>
                <w:color w:val="auto"/>
                <w:spacing w:val="0"/>
                <w:position w:val="0"/>
                <w:sz w:val="24"/>
                <w:szCs w:val="24"/>
                <w:lang w:val="en-US" w:eastAsia="zh-CN"/>
              </w:rPr>
              <w:t>项目废气排放口为一般排放口，未新增排放口且排气筒高度未降低，不属于重大变动。</w:t>
            </w:r>
          </w:p>
          <w:p w14:paraId="48570442">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eastAsia="宋体" w:cs="Times New Roman"/>
                <w:b w:val="0"/>
                <w:bCs w:val="0"/>
                <w:color w:val="auto"/>
                <w:spacing w:val="0"/>
                <w:position w:val="0"/>
                <w:sz w:val="24"/>
                <w:szCs w:val="24"/>
                <w:lang w:val="en-US" w:eastAsia="zh-CN"/>
              </w:rPr>
            </w:pPr>
            <w:r>
              <w:rPr>
                <w:rFonts w:hint="eastAsia" w:ascii="Times New Roman" w:hAnsi="Times New Roman" w:eastAsia="宋体" w:cs="Times New Roman"/>
                <w:b w:val="0"/>
                <w:bCs w:val="0"/>
                <w:color w:val="auto"/>
                <w:spacing w:val="0"/>
                <w:position w:val="0"/>
                <w:sz w:val="24"/>
                <w:szCs w:val="24"/>
                <w:lang w:val="en-US" w:eastAsia="zh-CN"/>
              </w:rPr>
              <w:t>（十一）噪声、土壤或地下水污染防治措施变化，导致不利环境影响加重的。</w:t>
            </w:r>
          </w:p>
          <w:p w14:paraId="44C699E0">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2" w:firstLineChars="200"/>
              <w:textAlignment w:val="auto"/>
              <w:outlineLvl w:val="9"/>
              <w:rPr>
                <w:rFonts w:hint="eastAsia" w:ascii="Times New Roman" w:hAnsi="Times New Roman" w:eastAsia="宋体" w:cs="Times New Roman"/>
                <w:b/>
                <w:bCs/>
                <w:color w:val="auto"/>
                <w:spacing w:val="0"/>
                <w:position w:val="0"/>
                <w:sz w:val="24"/>
                <w:szCs w:val="24"/>
                <w:lang w:val="en-US" w:eastAsia="zh-CN"/>
              </w:rPr>
            </w:pPr>
            <w:r>
              <w:rPr>
                <w:rFonts w:hint="eastAsia" w:ascii="Times New Roman" w:hAnsi="Times New Roman" w:eastAsia="宋体" w:cs="Times New Roman"/>
                <w:b/>
                <w:bCs/>
                <w:color w:val="auto"/>
                <w:spacing w:val="0"/>
                <w:position w:val="0"/>
                <w:sz w:val="24"/>
                <w:szCs w:val="24"/>
                <w:lang w:val="en-US" w:eastAsia="zh-CN"/>
              </w:rPr>
              <w:t>项目噪声采用基础减振、建筑隔声、合理布局等措施，土壤和地下水采取分区防渗措施，所采用的污染防治设施与环评一致，未发生变化。</w:t>
            </w:r>
          </w:p>
          <w:p w14:paraId="1D21695B">
            <w:pPr>
              <w:pStyle w:val="27"/>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Times New Roman" w:hAnsi="Times New Roman" w:eastAsia="宋体" w:cs="Times New Roman"/>
                <w:b w:val="0"/>
                <w:bCs w:val="0"/>
                <w:color w:val="auto"/>
                <w:spacing w:val="0"/>
                <w:position w:val="0"/>
                <w:sz w:val="24"/>
                <w:szCs w:val="24"/>
                <w:lang w:val="en-US" w:eastAsia="zh-CN" w:bidi="ar-SA"/>
              </w:rPr>
            </w:pPr>
            <w:r>
              <w:rPr>
                <w:rFonts w:hint="eastAsia" w:ascii="Times New Roman" w:hAnsi="Times New Roman" w:eastAsia="宋体" w:cs="Times New Roman"/>
                <w:b w:val="0"/>
                <w:bCs w:val="0"/>
                <w:color w:val="auto"/>
                <w:spacing w:val="0"/>
                <w:position w:val="0"/>
                <w:sz w:val="24"/>
                <w:szCs w:val="24"/>
                <w:lang w:val="en-US" w:eastAsia="zh-CN" w:bidi="ar-SA"/>
              </w:rPr>
              <w:t>（十二）固体废物利用处置方式由委托外单位利用处置改为自行利用处置的（自行利用处置设施单独开展环境影响评价的除外）；固体废物自行处置方式变化，导致不利环境影响加重的。</w:t>
            </w:r>
          </w:p>
          <w:p w14:paraId="11EC5C8E">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2" w:firstLineChars="200"/>
              <w:textAlignment w:val="auto"/>
              <w:outlineLvl w:val="9"/>
              <w:rPr>
                <w:rFonts w:hint="eastAsia" w:ascii="Times New Roman" w:hAnsi="Times New Roman" w:eastAsia="宋体" w:cs="Times New Roman"/>
                <w:b/>
                <w:bCs/>
                <w:color w:val="auto"/>
                <w:spacing w:val="0"/>
                <w:position w:val="0"/>
                <w:sz w:val="24"/>
                <w:szCs w:val="24"/>
                <w:lang w:val="en-US" w:eastAsia="zh-CN"/>
              </w:rPr>
            </w:pPr>
            <w:r>
              <w:rPr>
                <w:rFonts w:hint="eastAsia" w:ascii="Times New Roman" w:hAnsi="Times New Roman" w:eastAsia="宋体" w:cs="Times New Roman"/>
                <w:b/>
                <w:bCs/>
                <w:color w:val="auto"/>
                <w:spacing w:val="0"/>
                <w:position w:val="0"/>
                <w:sz w:val="24"/>
                <w:szCs w:val="24"/>
                <w:lang w:val="en-US" w:eastAsia="zh-CN"/>
              </w:rPr>
              <w:t>本项目固体废物利用处置方式未发生变化。</w:t>
            </w:r>
          </w:p>
          <w:p w14:paraId="4B9851C8">
            <w:pPr>
              <w:pStyle w:val="27"/>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Times New Roman" w:hAnsi="Times New Roman" w:eastAsia="宋体" w:cs="Times New Roman"/>
                <w:b w:val="0"/>
                <w:bCs w:val="0"/>
                <w:color w:val="auto"/>
                <w:spacing w:val="0"/>
                <w:position w:val="0"/>
                <w:sz w:val="24"/>
                <w:szCs w:val="24"/>
                <w:lang w:val="en-US" w:eastAsia="zh-CN" w:bidi="ar-SA"/>
              </w:rPr>
            </w:pPr>
            <w:r>
              <w:rPr>
                <w:rFonts w:hint="eastAsia" w:ascii="Times New Roman" w:hAnsi="Times New Roman" w:eastAsia="宋体" w:cs="Times New Roman"/>
                <w:b w:val="0"/>
                <w:bCs w:val="0"/>
                <w:color w:val="auto"/>
                <w:spacing w:val="0"/>
                <w:position w:val="0"/>
                <w:sz w:val="24"/>
                <w:szCs w:val="24"/>
                <w:lang w:val="en-US" w:eastAsia="zh-CN" w:bidi="ar-SA"/>
              </w:rPr>
              <w:t>（十三）</w:t>
            </w:r>
            <w:r>
              <w:rPr>
                <w:rFonts w:hint="default" w:ascii="Times New Roman" w:hAnsi="Times New Roman" w:eastAsia="宋体" w:cs="Times New Roman"/>
                <w:b w:val="0"/>
                <w:bCs w:val="0"/>
                <w:color w:val="auto"/>
                <w:spacing w:val="0"/>
                <w:position w:val="0"/>
                <w:sz w:val="24"/>
                <w:szCs w:val="24"/>
                <w:lang w:val="en-US" w:eastAsia="zh-CN"/>
              </w:rPr>
              <w:t>事故废水暂存能力或拦截设施变化，导致环境风险防范能力弱化或降低的</w:t>
            </w:r>
            <w:r>
              <w:rPr>
                <w:rFonts w:hint="eastAsia" w:ascii="Times New Roman" w:hAnsi="Times New Roman" w:eastAsia="宋体" w:cs="Times New Roman"/>
                <w:b w:val="0"/>
                <w:bCs w:val="0"/>
                <w:color w:val="auto"/>
                <w:spacing w:val="0"/>
                <w:position w:val="0"/>
                <w:sz w:val="24"/>
                <w:szCs w:val="24"/>
                <w:lang w:val="en-US" w:eastAsia="zh-CN" w:bidi="ar-SA"/>
              </w:rPr>
              <w:t>。</w:t>
            </w:r>
          </w:p>
          <w:p w14:paraId="500E9663">
            <w:pPr>
              <w:pStyle w:val="27"/>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Times New Roman" w:hAnsi="Times New Roman" w:eastAsia="宋体" w:cs="Times New Roman"/>
                <w:b w:val="0"/>
                <w:bCs w:val="0"/>
                <w:color w:val="auto"/>
                <w:spacing w:val="0"/>
                <w:position w:val="0"/>
                <w:sz w:val="24"/>
                <w:szCs w:val="24"/>
                <w:lang w:val="en-US" w:eastAsia="zh-CN" w:bidi="ar-SA"/>
              </w:rPr>
            </w:pPr>
            <w:r>
              <w:rPr>
                <w:rFonts w:hint="eastAsia" w:ascii="Times New Roman" w:hAnsi="Times New Roman" w:eastAsia="宋体" w:cs="Times New Roman"/>
                <w:b/>
                <w:bCs/>
                <w:color w:val="auto"/>
                <w:spacing w:val="0"/>
                <w:position w:val="0"/>
                <w:sz w:val="24"/>
                <w:szCs w:val="24"/>
                <w:lang w:val="en-US" w:eastAsia="zh-CN" w:bidi="ar-SA"/>
              </w:rPr>
              <w:t>项目按照环评要求建立环境风险应急管理体系，制定了事故应急预案，且单位已储备了一定的应急物资，环境风险防范能力未弱化或降低</w:t>
            </w:r>
            <w:r>
              <w:rPr>
                <w:rFonts w:hint="eastAsia" w:ascii="Times New Roman" w:hAnsi="Times New Roman" w:eastAsia="宋体" w:cs="Times New Roman"/>
                <w:b w:val="0"/>
                <w:bCs w:val="0"/>
                <w:color w:val="auto"/>
                <w:spacing w:val="0"/>
                <w:position w:val="0"/>
                <w:sz w:val="24"/>
                <w:szCs w:val="24"/>
                <w:lang w:val="en-US" w:eastAsia="zh-CN" w:bidi="ar-SA"/>
              </w:rPr>
              <w:t>。</w:t>
            </w:r>
          </w:p>
          <w:p w14:paraId="2594BAC8">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eastAsia="宋体" w:cs="Times New Roman"/>
                <w:b w:val="0"/>
                <w:bCs w:val="0"/>
                <w:color w:val="FF0000"/>
                <w:spacing w:val="0"/>
                <w:position w:val="0"/>
                <w:sz w:val="24"/>
                <w:szCs w:val="24"/>
                <w:lang w:val="en-US" w:eastAsia="zh-CN"/>
              </w:rPr>
            </w:pPr>
            <w:r>
              <w:rPr>
                <w:rFonts w:hint="eastAsia" w:ascii="Times New Roman" w:hAnsi="Times New Roman" w:eastAsia="宋体" w:cs="Times New Roman"/>
                <w:b w:val="0"/>
                <w:bCs w:val="0"/>
                <w:color w:val="auto"/>
                <w:spacing w:val="0"/>
                <w:position w:val="0"/>
                <w:sz w:val="24"/>
                <w:szCs w:val="24"/>
                <w:lang w:val="en-US" w:eastAsia="zh-CN"/>
              </w:rPr>
              <w:t>综上所述，项目无重大变动，不需要重新报批环评。</w:t>
            </w:r>
          </w:p>
          <w:p w14:paraId="0D5B3249">
            <w:pPr>
              <w:pStyle w:val="27"/>
              <w:ind w:left="0" w:leftChars="0" w:firstLine="0" w:firstLineChars="0"/>
              <w:rPr>
                <w:rFonts w:hint="default" w:ascii="Times New Roman" w:hAnsi="Times New Roman" w:eastAsia="宋体" w:cs="Times New Roman"/>
                <w:b w:val="0"/>
                <w:bCs w:val="0"/>
                <w:color w:val="FF0000"/>
                <w:spacing w:val="0"/>
                <w:position w:val="0"/>
                <w:sz w:val="24"/>
                <w:szCs w:val="24"/>
                <w:lang w:val="en-US" w:eastAsia="zh-CN"/>
              </w:rPr>
            </w:pPr>
          </w:p>
        </w:tc>
      </w:tr>
    </w:tbl>
    <w:p w14:paraId="6EB30E0B">
      <w:pPr>
        <w:spacing w:line="360" w:lineRule="auto"/>
        <w:rPr>
          <w:rFonts w:eastAsia="仿宋_GB2312"/>
          <w:color w:val="FF0000"/>
          <w:sz w:val="21"/>
          <w:szCs w:val="21"/>
        </w:rPr>
        <w:sectPr>
          <w:pgSz w:w="11906" w:h="16838"/>
          <w:pgMar w:top="1440" w:right="1800" w:bottom="1440" w:left="1800" w:header="708" w:footer="708" w:gutter="0"/>
          <w:pgBorders>
            <w:top w:val="none" w:sz="0" w:space="0"/>
            <w:left w:val="none" w:sz="0" w:space="0"/>
            <w:bottom w:val="none" w:sz="0" w:space="0"/>
            <w:right w:val="none" w:sz="0" w:space="0"/>
          </w:pgBorders>
          <w:pgNumType w:fmt="decimal"/>
          <w:cols w:space="720" w:num="1"/>
          <w:docGrid w:linePitch="360" w:charSpace="0"/>
        </w:sectPr>
      </w:pPr>
    </w:p>
    <w:p w14:paraId="7FF5F6D4">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eastAsia" w:ascii="Times New Roman" w:hAnsi="Times New Roman" w:eastAsia="宋体" w:cs="Times New Roman"/>
          <w:b/>
          <w:color w:val="auto"/>
          <w:sz w:val="24"/>
          <w:szCs w:val="24"/>
        </w:rPr>
      </w:pPr>
      <w:bookmarkStart w:id="15" w:name="_Toc24070"/>
      <w:r>
        <w:rPr>
          <w:rFonts w:hint="default" w:ascii="Times New Roman" w:hAnsi="Times New Roman" w:eastAsia="宋体" w:cs="Times New Roman"/>
          <w:b/>
          <w:color w:val="auto"/>
          <w:sz w:val="24"/>
          <w:szCs w:val="24"/>
        </w:rPr>
        <w:t>表</w:t>
      </w:r>
      <w:r>
        <w:rPr>
          <w:rFonts w:hint="eastAsia" w:ascii="Times New Roman" w:hAnsi="Times New Roman" w:eastAsia="宋体" w:cs="Times New Roman"/>
          <w:b/>
          <w:color w:val="auto"/>
          <w:sz w:val="24"/>
          <w:szCs w:val="24"/>
        </w:rPr>
        <w:t>三</w:t>
      </w:r>
      <w:r>
        <w:rPr>
          <w:rFonts w:hint="eastAsia" w:ascii="Times New Roman" w:hAnsi="Times New Roman" w:eastAsia="宋体" w:cs="Times New Roman"/>
          <w:b/>
          <w:color w:val="auto"/>
          <w:sz w:val="24"/>
          <w:szCs w:val="24"/>
          <w:lang w:val="en-US" w:eastAsia="zh-CN"/>
        </w:rPr>
        <w:t xml:space="preserve">  </w:t>
      </w:r>
      <w:r>
        <w:rPr>
          <w:rFonts w:hint="default" w:ascii="Times New Roman" w:hAnsi="Times New Roman" w:eastAsia="宋体" w:cs="Times New Roman"/>
          <w:b/>
          <w:color w:val="auto"/>
          <w:sz w:val="24"/>
          <w:szCs w:val="24"/>
        </w:rPr>
        <w:t>主要污染源、污染物处理和排放</w:t>
      </w:r>
      <w:bookmarkEnd w:id="15"/>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Layout w:type="autofit"/>
        <w:tblCellMar>
          <w:top w:w="0" w:type="dxa"/>
          <w:left w:w="108" w:type="dxa"/>
          <w:bottom w:w="0" w:type="dxa"/>
          <w:right w:w="108" w:type="dxa"/>
        </w:tblCellMar>
      </w:tblPr>
      <w:tblGrid>
        <w:gridCol w:w="8522"/>
      </w:tblGrid>
      <w:tr w14:paraId="1AF8C574">
        <w:tblPrEx>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CellMar>
            <w:top w:w="0" w:type="dxa"/>
            <w:left w:w="108" w:type="dxa"/>
            <w:bottom w:w="0" w:type="dxa"/>
            <w:right w:w="108" w:type="dxa"/>
          </w:tblCellMar>
        </w:tblPrEx>
        <w:trPr>
          <w:trHeight w:val="13135" w:hRule="atLeast"/>
          <w:jc w:val="center"/>
        </w:trPr>
        <w:tc>
          <w:tcPr>
            <w:tcW w:w="8924" w:type="dxa"/>
            <w:tcBorders>
              <w:tl2br w:val="nil"/>
              <w:tr2bl w:val="nil"/>
            </w:tcBorders>
            <w:noWrap w:val="0"/>
            <w:vAlign w:val="top"/>
          </w:tcPr>
          <w:p w14:paraId="000098FA">
            <w:pPr>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3.1</w:t>
            </w:r>
            <w:r>
              <w:rPr>
                <w:rFonts w:hint="default" w:ascii="Times New Roman" w:hAnsi="Times New Roman" w:eastAsia="宋体" w:cs="Times New Roman"/>
                <w:b/>
                <w:bCs/>
                <w:color w:val="auto"/>
                <w:sz w:val="24"/>
                <w:szCs w:val="24"/>
              </w:rPr>
              <w:t>主要污染源、污染物处理和排放（附处理流程示意图，标出废水、废气、厂界噪声监测点位）</w:t>
            </w:r>
          </w:p>
          <w:p w14:paraId="0A64C76E">
            <w:pPr>
              <w:pStyle w:val="6"/>
              <w:pageBreakBefore w:val="0"/>
              <w:widowControl/>
              <w:kinsoku/>
              <w:wordWrap/>
              <w:overflowPunct/>
              <w:topLinePunct w:val="0"/>
              <w:autoSpaceDE/>
              <w:autoSpaceDN/>
              <w:bidi w:val="0"/>
              <w:adjustRightInd w:val="0"/>
              <w:snapToGrid w:val="0"/>
              <w:spacing w:before="0" w:after="0" w:line="360" w:lineRule="auto"/>
              <w:ind w:firstLine="480" w:firstLineChars="200"/>
              <w:textAlignment w:val="auto"/>
              <w:rPr>
                <w:rFonts w:hint="default" w:ascii="Times New Roman" w:hAnsi="Times New Roman" w:eastAsia="宋体" w:cs="Times New Roman"/>
                <w:b w:val="0"/>
                <w:bCs/>
                <w:color w:val="auto"/>
                <w:sz w:val="24"/>
                <w:szCs w:val="24"/>
              </w:rPr>
            </w:pPr>
            <w:bookmarkStart w:id="16" w:name="_Toc39671207"/>
            <w:r>
              <w:rPr>
                <w:rFonts w:hint="default" w:ascii="Times New Roman" w:hAnsi="Times New Roman" w:eastAsia="宋体" w:cs="Times New Roman"/>
                <w:b w:val="0"/>
                <w:bCs/>
                <w:color w:val="auto"/>
                <w:sz w:val="24"/>
                <w:szCs w:val="24"/>
                <w:lang w:val="en-US" w:eastAsia="zh-CN"/>
              </w:rPr>
              <w:t>3.1.1</w:t>
            </w:r>
            <w:r>
              <w:rPr>
                <w:rFonts w:hint="default" w:ascii="Times New Roman" w:hAnsi="Times New Roman" w:eastAsia="宋体" w:cs="Times New Roman"/>
                <w:b w:val="0"/>
                <w:bCs/>
                <w:color w:val="auto"/>
                <w:sz w:val="24"/>
                <w:szCs w:val="24"/>
              </w:rPr>
              <w:t>废水</w:t>
            </w:r>
            <w:bookmarkEnd w:id="16"/>
          </w:p>
          <w:p w14:paraId="1FE8390B">
            <w:pPr>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eastAsia="zh-CN"/>
              </w:rPr>
            </w:pPr>
            <w:bookmarkStart w:id="17" w:name="_Hlk28001376"/>
            <w:r>
              <w:rPr>
                <w:rFonts w:hint="default" w:ascii="Times New Roman" w:hAnsi="Times New Roman" w:eastAsia="宋体" w:cs="Times New Roman"/>
                <w:color w:val="auto"/>
                <w:sz w:val="24"/>
                <w:szCs w:val="24"/>
                <w:lang w:eastAsia="zh-CN"/>
              </w:rPr>
              <w:t>项目</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现阶段）</w:t>
            </w:r>
            <w:r>
              <w:rPr>
                <w:rFonts w:hint="default" w:ascii="Times New Roman" w:hAnsi="Times New Roman" w:eastAsia="宋体" w:cs="Times New Roman"/>
                <w:color w:val="auto"/>
                <w:sz w:val="24"/>
                <w:szCs w:val="24"/>
                <w:lang w:eastAsia="zh-CN"/>
              </w:rPr>
              <w:t>仅排放生活污水，生活污水经化粪池处理后通过园区污水管网送歙县循环经济园区污水处理厂（鼎元污水处理有限公司）处理达标后进入歙县污水处理厂。</w:t>
            </w:r>
          </w:p>
          <w:p w14:paraId="1073FC83">
            <w:pPr>
              <w:pStyle w:val="10"/>
              <w:jc w:val="center"/>
              <w:rPr>
                <w:rFonts w:hint="default" w:ascii="Times New Roman" w:hAnsi="Times New Roman" w:eastAsia="宋体" w:cs="Times New Roman"/>
                <w:b/>
                <w:bCs/>
                <w:color w:val="FF0000"/>
                <w:sz w:val="21"/>
                <w:szCs w:val="21"/>
                <w:lang w:val="en-US" w:eastAsia="zh-CN"/>
              </w:rPr>
            </w:pPr>
            <w:r>
              <w:rPr>
                <w:rFonts w:hint="default"/>
                <w:color w:val="FF0000"/>
                <w:lang w:eastAsia="zh-CN"/>
              </w:rPr>
              <w:object>
                <v:shape id="_x0000_i1026" o:spt="75" type="#_x0000_t75" style="height:146.85pt;width:415.1pt;" o:ole="t" filled="f" o:preferrelative="t" stroked="f" coordsize="21600,21600">
                  <v:path/>
                  <v:fill on="f" focussize="0,0"/>
                  <v:stroke on="f"/>
                  <v:imagedata r:id="rId22" o:title=""/>
                  <o:lock v:ext="edit" aspectratio="f"/>
                  <w10:wrap type="none"/>
                  <w10:anchorlock/>
                </v:shape>
                <o:OLEObject Type="Embed" ProgID="Visio.Drawing.15" ShapeID="_x0000_i1026" DrawAspect="Content" ObjectID="_1468075726" r:id="rId21">
                  <o:LockedField>false</o:LockedField>
                </o:OLEObject>
              </w:object>
            </w:r>
            <w:bookmarkEnd w:id="17"/>
          </w:p>
          <w:p w14:paraId="5E33CC5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图3-1 项目（现阶段</w:t>
            </w:r>
            <w:r>
              <w:rPr>
                <w:rFonts w:hint="eastAsia" w:ascii="Times New Roman" w:hAnsi="Times New Roman" w:eastAsia="宋体" w:cs="Times New Roman"/>
                <w:b/>
                <w:bCs/>
                <w:color w:val="auto"/>
                <w:sz w:val="21"/>
                <w:szCs w:val="21"/>
                <w:highlight w:val="none"/>
                <w:lang w:val="en-US" w:eastAsia="zh-CN"/>
              </w:rPr>
              <w:t>）</w:t>
            </w:r>
            <w:r>
              <w:rPr>
                <w:rFonts w:hint="default" w:ascii="Times New Roman" w:hAnsi="Times New Roman" w:eastAsia="宋体" w:cs="Times New Roman"/>
                <w:b/>
                <w:bCs/>
                <w:color w:val="auto"/>
                <w:sz w:val="21"/>
                <w:szCs w:val="21"/>
                <w:highlight w:val="none"/>
                <w:lang w:val="en-US" w:eastAsia="zh-CN"/>
              </w:rPr>
              <w:t>废水排放示意图</w:t>
            </w:r>
          </w:p>
          <w:p w14:paraId="1B4AD911">
            <w:pPr>
              <w:pStyle w:val="6"/>
              <w:pageBreakBefore w:val="0"/>
              <w:widowControl/>
              <w:kinsoku/>
              <w:wordWrap/>
              <w:overflowPunct/>
              <w:topLinePunct w:val="0"/>
              <w:autoSpaceDE/>
              <w:autoSpaceDN/>
              <w:bidi w:val="0"/>
              <w:adjustRightInd w:val="0"/>
              <w:snapToGrid w:val="0"/>
              <w:spacing w:before="0" w:after="0" w:line="360" w:lineRule="auto"/>
              <w:ind w:firstLine="480" w:firstLineChars="200"/>
              <w:textAlignment w:val="auto"/>
              <w:rPr>
                <w:rFonts w:hint="eastAsia"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b w:val="0"/>
                <w:bCs/>
                <w:color w:val="auto"/>
                <w:sz w:val="24"/>
                <w:szCs w:val="24"/>
                <w:lang w:val="en-US" w:eastAsia="zh-CN"/>
              </w:rPr>
              <w:t>3.1.2 废气</w:t>
            </w:r>
          </w:p>
          <w:p w14:paraId="650A42C3">
            <w:pPr>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color w:val="auto"/>
                <w:kern w:val="2"/>
                <w:sz w:val="24"/>
                <w:szCs w:val="28"/>
                <w:lang w:val="en-US" w:eastAsia="zh-CN" w:bidi="ar-SA"/>
              </w:rPr>
              <w:t>项目（现阶段）废气主要为印刷机、烘箱、涂布机、配胶室及危废暂存间废气，主要污染物为挥发性有机物（以非甲烷总烃表征）和甲醇。废气收集后经“气动旋流净化塔+干式过滤箱+活性炭吸附浓缩+催化燃烧（TA001）”处理措施处理后通过15米高排气筒（DA001）排放。</w:t>
            </w:r>
          </w:p>
          <w:p w14:paraId="7AE0F5F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FF0000"/>
                <w:sz w:val="21"/>
                <w:szCs w:val="21"/>
                <w:highlight w:val="yellow"/>
                <w:lang w:val="en-US" w:eastAsia="zh-CN"/>
              </w:rPr>
            </w:pPr>
            <w:r>
              <w:rPr>
                <w:rFonts w:hint="eastAsia" w:ascii="Times New Roman" w:hAnsi="Times New Roman" w:eastAsia="宋体" w:cs="Times New Roman"/>
                <w:b/>
                <w:bCs/>
                <w:color w:val="auto"/>
                <w:sz w:val="21"/>
                <w:szCs w:val="21"/>
                <w:highlight w:val="none"/>
                <w:lang w:val="en-US" w:eastAsia="zh-CN"/>
              </w:rPr>
              <w:object>
                <v:shape id="_x0000_i1027" o:spt="75" type="#_x0000_t75" style="height:53.7pt;width:414.85pt;" o:ole="t" filled="f" o:preferrelative="t" stroked="f" coordsize="21600,21600">
                  <v:path/>
                  <v:fill on="f" focussize="0,0"/>
                  <v:stroke on="f"/>
                  <v:imagedata r:id="rId24" o:title=""/>
                  <o:lock v:ext="edit" aspectratio="f"/>
                  <w10:wrap type="none"/>
                  <w10:anchorlock/>
                </v:shape>
                <o:OLEObject Type="Embed" ProgID="Visio.Drawing.15" ShapeID="_x0000_i1027" DrawAspect="Content" ObjectID="_1468075727" r:id="rId23">
                  <o:LockedField>false</o:LockedField>
                </o:OLEObject>
              </w:object>
            </w:r>
            <w:r>
              <w:rPr>
                <w:rFonts w:hint="eastAsia" w:ascii="Times New Roman" w:hAnsi="Times New Roman" w:eastAsia="宋体" w:cs="Times New Roman"/>
                <w:b/>
                <w:bCs/>
                <w:color w:val="auto"/>
                <w:sz w:val="21"/>
                <w:szCs w:val="21"/>
                <w:highlight w:val="none"/>
                <w:lang w:val="en-US" w:eastAsia="zh-CN"/>
              </w:rPr>
              <w:t xml:space="preserve">图3-2  </w:t>
            </w:r>
            <w:r>
              <w:rPr>
                <w:rFonts w:hint="default" w:ascii="Times New Roman" w:hAnsi="Times New Roman" w:eastAsia="宋体" w:cs="Times New Roman"/>
                <w:b/>
                <w:bCs/>
                <w:color w:val="auto"/>
                <w:sz w:val="21"/>
                <w:szCs w:val="21"/>
                <w:highlight w:val="none"/>
                <w:lang w:val="en-US" w:eastAsia="zh-CN"/>
              </w:rPr>
              <w:t>项目（现阶段</w:t>
            </w:r>
            <w:r>
              <w:rPr>
                <w:rFonts w:hint="eastAsia" w:ascii="Times New Roman" w:hAnsi="Times New Roman" w:eastAsia="宋体" w:cs="Times New Roman"/>
                <w:b/>
                <w:bCs/>
                <w:color w:val="auto"/>
                <w:sz w:val="21"/>
                <w:szCs w:val="21"/>
                <w:highlight w:val="none"/>
                <w:lang w:val="en-US" w:eastAsia="zh-CN"/>
              </w:rPr>
              <w:t>）废气收集</w:t>
            </w:r>
            <w:r>
              <w:rPr>
                <w:rFonts w:hint="default" w:ascii="Times New Roman" w:hAnsi="Times New Roman" w:eastAsia="宋体" w:cs="Times New Roman"/>
                <w:b/>
                <w:bCs/>
                <w:color w:val="auto"/>
                <w:sz w:val="21"/>
                <w:szCs w:val="21"/>
                <w:highlight w:val="none"/>
                <w:lang w:val="en-US" w:eastAsia="zh-CN"/>
              </w:rPr>
              <w:t>排放示意图</w:t>
            </w:r>
          </w:p>
          <w:p w14:paraId="48A984E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3.1.3噪声</w:t>
            </w:r>
          </w:p>
          <w:p w14:paraId="373E36D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项目（现阶段）噪声主要来自于厂房内生产设备及各类泵、风机运行时产生的噪声，产生的噪声通过合理布局，优选低噪声设备，设备基础减振和建筑隔声等方式减少噪声的影响，使项目厂界噪声排放执行《工业企业厂界环境噪声排放标准》（GB12348-2008）中的3类标准。</w:t>
            </w:r>
          </w:p>
          <w:p w14:paraId="51BE63F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3.1.4固体废物</w:t>
            </w:r>
          </w:p>
          <w:p w14:paraId="5E7CA869">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项目（现阶段）产生的固废主要是一般固废、生活垃圾和危险废物，一般固体废物主要有废边角料。危险废物主要是废原料包装桶、废抹布、废胶、废过滤介质、废催化剂和废活性炭。</w:t>
            </w:r>
          </w:p>
          <w:p w14:paraId="09DDEBB4">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lang w:val="en-US" w:eastAsia="zh-CN"/>
              </w:rPr>
            </w:pPr>
            <w:r>
              <w:rPr>
                <w:rFonts w:hint="eastAsia" w:ascii="Times New Roman" w:hAnsi="Times New Roman" w:eastAsia="宋体" w:cs="Times New Roman"/>
                <w:color w:val="auto"/>
                <w:sz w:val="24"/>
                <w:szCs w:val="24"/>
                <w:lang w:val="en-US" w:eastAsia="zh-CN"/>
              </w:rPr>
              <w:t>项目（现阶段）废边角料经分类收集后外售；生活垃圾由环卫部门统一清运；废原料包装桶、废抹布、废胶、废过滤介质、废催化剂和废活性炭收集后分类暂存于危废暂存间，定期委</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托马鞍山澳新环保科技有限公司处置</w:t>
            </w:r>
            <w:r>
              <w:rPr>
                <w:rFonts w:hint="eastAsia" w:ascii="Times New Roman" w:hAnsi="Times New Roman" w:eastAsia="宋体" w:cs="Times New Roman"/>
                <w:color w:val="auto"/>
                <w:sz w:val="24"/>
                <w:szCs w:val="24"/>
                <w:lang w:val="en-US" w:eastAsia="zh-CN"/>
              </w:rPr>
              <w:t>（见附件4）。</w:t>
            </w:r>
          </w:p>
          <w:p w14:paraId="081525B6">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综上所述，本项目各类固废能得到有效处理处置，不会产生二次污染，对周边环境影响较小。</w:t>
            </w:r>
          </w:p>
          <w:p w14:paraId="55E4B1B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表3-1 营运期固体废物分析结果汇总表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03"/>
              <w:gridCol w:w="1166"/>
              <w:gridCol w:w="1520"/>
              <w:gridCol w:w="670"/>
              <w:gridCol w:w="776"/>
              <w:gridCol w:w="1313"/>
              <w:gridCol w:w="2255"/>
            </w:tblGrid>
            <w:tr w14:paraId="7D8D3C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 w:type="pct"/>
                  <w:tcBorders>
                    <w:tl2br w:val="nil"/>
                    <w:tr2bl w:val="nil"/>
                  </w:tcBorders>
                  <w:noWrap w:val="0"/>
                  <w:vAlign w:val="center"/>
                </w:tcPr>
                <w:p w14:paraId="0D4EDBA5">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序号</w:t>
                  </w:r>
                </w:p>
              </w:tc>
              <w:tc>
                <w:tcPr>
                  <w:tcW w:w="702" w:type="pct"/>
                  <w:tcBorders>
                    <w:tl2br w:val="nil"/>
                    <w:tr2bl w:val="nil"/>
                  </w:tcBorders>
                  <w:noWrap w:val="0"/>
                  <w:vAlign w:val="center"/>
                </w:tcPr>
                <w:p w14:paraId="4BC0257D">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排放源</w:t>
                  </w:r>
                </w:p>
                <w:p w14:paraId="2DF59D04">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名称</w:t>
                  </w:r>
                </w:p>
              </w:tc>
              <w:tc>
                <w:tcPr>
                  <w:tcW w:w="915" w:type="pct"/>
                  <w:tcBorders>
                    <w:tl2br w:val="nil"/>
                    <w:tr2bl w:val="nil"/>
                  </w:tcBorders>
                  <w:noWrap w:val="0"/>
                  <w:vAlign w:val="center"/>
                </w:tcPr>
                <w:p w14:paraId="38C44129">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污染物名称</w:t>
                  </w:r>
                </w:p>
              </w:tc>
              <w:tc>
                <w:tcPr>
                  <w:tcW w:w="403" w:type="pct"/>
                  <w:tcBorders>
                    <w:tl2br w:val="nil"/>
                    <w:tr2bl w:val="nil"/>
                  </w:tcBorders>
                  <w:noWrap w:val="0"/>
                  <w:vAlign w:val="center"/>
                </w:tcPr>
                <w:p w14:paraId="310D68C7">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snapToGrid w:val="0"/>
                      <w:color w:val="auto"/>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危险特性</w:t>
                  </w:r>
                </w:p>
              </w:tc>
              <w:tc>
                <w:tcPr>
                  <w:tcW w:w="467" w:type="pct"/>
                  <w:tcBorders>
                    <w:tl2br w:val="nil"/>
                    <w:tr2bl w:val="nil"/>
                  </w:tcBorders>
                  <w:noWrap w:val="0"/>
                  <w:vAlign w:val="center"/>
                </w:tcPr>
                <w:p w14:paraId="35B87679">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snapToGrid w:val="0"/>
                      <w:color w:val="auto"/>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废物类别</w:t>
                  </w:r>
                </w:p>
              </w:tc>
              <w:tc>
                <w:tcPr>
                  <w:tcW w:w="790" w:type="pct"/>
                  <w:tcBorders>
                    <w:tl2br w:val="nil"/>
                    <w:tr2bl w:val="nil"/>
                  </w:tcBorders>
                  <w:noWrap w:val="0"/>
                  <w:vAlign w:val="center"/>
                </w:tcPr>
                <w:p w14:paraId="4F015DFF">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bCs/>
                      <w:snapToGrid w:val="0"/>
                      <w:color w:val="auto"/>
                      <w:kern w:val="0"/>
                      <w:sz w:val="21"/>
                      <w:szCs w:val="21"/>
                      <w:lang w:val="en-US" w:eastAsia="zh-CN" w:bidi="ar-SA"/>
                    </w:rPr>
                  </w:pPr>
                  <w:r>
                    <w:rPr>
                      <w:rFonts w:hint="default" w:ascii="Times New Roman" w:hAnsi="Times New Roman" w:eastAsia="宋体" w:cs="Times New Roman"/>
                      <w:b/>
                      <w:bCs/>
                      <w:snapToGrid w:val="0"/>
                      <w:color w:val="000000"/>
                      <w:kern w:val="0"/>
                      <w:sz w:val="21"/>
                      <w:szCs w:val="21"/>
                      <w:lang w:val="en-US" w:eastAsia="zh-CN" w:bidi="ar-SA"/>
                    </w:rPr>
                    <w:t>废物代码</w:t>
                  </w:r>
                </w:p>
              </w:tc>
              <w:tc>
                <w:tcPr>
                  <w:tcW w:w="1357" w:type="pct"/>
                  <w:tcBorders>
                    <w:tl2br w:val="nil"/>
                    <w:tr2bl w:val="nil"/>
                  </w:tcBorders>
                  <w:noWrap w:val="0"/>
                  <w:vAlign w:val="center"/>
                </w:tcPr>
                <w:p w14:paraId="119EC3E4">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b/>
                      <w:bCs/>
                      <w:color w:val="auto"/>
                      <w:kern w:val="2"/>
                      <w:sz w:val="21"/>
                      <w:szCs w:val="21"/>
                    </w:rPr>
                  </w:pPr>
                  <w:r>
                    <w:rPr>
                      <w:rFonts w:hint="default" w:ascii="Times New Roman" w:hAnsi="Times New Roman" w:eastAsia="宋体" w:cs="Times New Roman"/>
                      <w:b/>
                      <w:bCs/>
                      <w:color w:val="auto"/>
                      <w:kern w:val="2"/>
                      <w:sz w:val="21"/>
                      <w:szCs w:val="21"/>
                    </w:rPr>
                    <w:t>处理处置方法</w:t>
                  </w:r>
                </w:p>
              </w:tc>
            </w:tr>
            <w:tr w14:paraId="0571C7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 w:type="pct"/>
                  <w:tcBorders>
                    <w:tl2br w:val="nil"/>
                    <w:tr2bl w:val="nil"/>
                  </w:tcBorders>
                  <w:noWrap w:val="0"/>
                  <w:vAlign w:val="center"/>
                </w:tcPr>
                <w:p w14:paraId="129666BE">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1</w:t>
                  </w:r>
                </w:p>
              </w:tc>
              <w:tc>
                <w:tcPr>
                  <w:tcW w:w="702" w:type="pct"/>
                  <w:tcBorders>
                    <w:tl2br w:val="nil"/>
                    <w:tr2bl w:val="nil"/>
                  </w:tcBorders>
                  <w:noWrap w:val="0"/>
                  <w:vAlign w:val="center"/>
                </w:tcPr>
                <w:p w14:paraId="57C37611">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生活垃圾</w:t>
                  </w:r>
                </w:p>
              </w:tc>
              <w:tc>
                <w:tcPr>
                  <w:tcW w:w="915" w:type="pct"/>
                  <w:tcBorders>
                    <w:tl2br w:val="nil"/>
                    <w:tr2bl w:val="nil"/>
                  </w:tcBorders>
                  <w:noWrap w:val="0"/>
                  <w:vAlign w:val="center"/>
                </w:tcPr>
                <w:p w14:paraId="0327B818">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生活垃圾</w:t>
                  </w:r>
                </w:p>
              </w:tc>
              <w:tc>
                <w:tcPr>
                  <w:tcW w:w="403" w:type="pct"/>
                  <w:tcBorders>
                    <w:tl2br w:val="nil"/>
                    <w:tr2bl w:val="nil"/>
                  </w:tcBorders>
                  <w:noWrap w:val="0"/>
                  <w:vAlign w:val="center"/>
                </w:tcPr>
                <w:p w14:paraId="1731B975">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default" w:ascii="Times New Roman" w:hAnsi="Times New Roman" w:eastAsia="宋体" w:cs="Times New Roman"/>
                      <w:snapToGrid w:val="0"/>
                      <w:color w:val="000000"/>
                      <w:kern w:val="0"/>
                      <w:sz w:val="21"/>
                      <w:szCs w:val="21"/>
                      <w:lang w:val="en-US" w:eastAsia="zh-CN" w:bidi="ar-SA"/>
                    </w:rPr>
                    <w:t>/</w:t>
                  </w:r>
                </w:p>
              </w:tc>
              <w:tc>
                <w:tcPr>
                  <w:tcW w:w="467" w:type="pct"/>
                  <w:tcBorders>
                    <w:tl2br w:val="nil"/>
                    <w:tr2bl w:val="nil"/>
                  </w:tcBorders>
                  <w:noWrap w:val="0"/>
                  <w:vAlign w:val="center"/>
                </w:tcPr>
                <w:p w14:paraId="1A1FF49E">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default" w:ascii="Times New Roman" w:hAnsi="Times New Roman" w:eastAsia="宋体" w:cs="Times New Roman"/>
                      <w:snapToGrid w:val="0"/>
                      <w:color w:val="000000"/>
                      <w:kern w:val="0"/>
                      <w:sz w:val="21"/>
                      <w:szCs w:val="21"/>
                      <w:lang w:val="en-US" w:eastAsia="zh-CN" w:bidi="ar-SA"/>
                    </w:rPr>
                    <w:t>SW64</w:t>
                  </w:r>
                </w:p>
              </w:tc>
              <w:tc>
                <w:tcPr>
                  <w:tcW w:w="790" w:type="pct"/>
                  <w:tcBorders>
                    <w:tl2br w:val="nil"/>
                    <w:tr2bl w:val="nil"/>
                  </w:tcBorders>
                  <w:noWrap w:val="0"/>
                  <w:vAlign w:val="center"/>
                </w:tcPr>
                <w:p w14:paraId="3E48717A">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kern w:val="0"/>
                      <w:sz w:val="21"/>
                      <w:szCs w:val="21"/>
                      <w:lang w:val="en-US" w:eastAsia="zh-CN" w:bidi="ar-SA"/>
                    </w:rPr>
                  </w:pPr>
                  <w:r>
                    <w:rPr>
                      <w:rFonts w:hint="default" w:ascii="Times New Roman" w:hAnsi="Times New Roman" w:eastAsia="宋体" w:cs="Times New Roman"/>
                      <w:snapToGrid w:val="0"/>
                      <w:color w:val="000000"/>
                      <w:kern w:val="0"/>
                      <w:sz w:val="21"/>
                      <w:szCs w:val="21"/>
                      <w:lang w:val="en-US" w:eastAsia="zh-CN" w:bidi="ar-SA"/>
                    </w:rPr>
                    <w:t>900-099-S64</w:t>
                  </w:r>
                </w:p>
              </w:tc>
              <w:tc>
                <w:tcPr>
                  <w:tcW w:w="1357" w:type="pct"/>
                  <w:tcBorders>
                    <w:tl2br w:val="nil"/>
                    <w:tr2bl w:val="nil"/>
                  </w:tcBorders>
                  <w:noWrap w:val="0"/>
                  <w:vAlign w:val="center"/>
                </w:tcPr>
                <w:p w14:paraId="70A68EB1">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交由环卫部</w:t>
                  </w:r>
                  <w:r>
                    <w:rPr>
                      <w:rFonts w:hint="eastAsia" w:ascii="Times New Roman" w:hAnsi="Times New Roman" w:eastAsia="宋体" w:cs="Times New Roman"/>
                      <w:color w:val="auto"/>
                      <w:kern w:val="2"/>
                      <w:sz w:val="21"/>
                      <w:szCs w:val="21"/>
                      <w:lang w:val="en-US" w:eastAsia="zh-CN"/>
                    </w:rPr>
                    <w:t>门</w:t>
                  </w:r>
                  <w:r>
                    <w:rPr>
                      <w:rFonts w:hint="default" w:ascii="Times New Roman" w:hAnsi="Times New Roman" w:eastAsia="宋体" w:cs="Times New Roman"/>
                      <w:color w:val="auto"/>
                      <w:kern w:val="2"/>
                      <w:sz w:val="21"/>
                      <w:szCs w:val="21"/>
                    </w:rPr>
                    <w:t>处置</w:t>
                  </w:r>
                </w:p>
              </w:tc>
            </w:tr>
            <w:tr w14:paraId="707D93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 w:type="pct"/>
                  <w:tcBorders>
                    <w:tl2br w:val="nil"/>
                    <w:tr2bl w:val="nil"/>
                  </w:tcBorders>
                  <w:noWrap w:val="0"/>
                  <w:vAlign w:val="center"/>
                </w:tcPr>
                <w:p w14:paraId="3C62E853">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2</w:t>
                  </w:r>
                </w:p>
              </w:tc>
              <w:tc>
                <w:tcPr>
                  <w:tcW w:w="702" w:type="pct"/>
                  <w:tcBorders>
                    <w:tl2br w:val="nil"/>
                    <w:tr2bl w:val="nil"/>
                  </w:tcBorders>
                  <w:noWrap w:val="0"/>
                  <w:vAlign w:val="center"/>
                </w:tcPr>
                <w:p w14:paraId="060EC6F5">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一般废物</w:t>
                  </w:r>
                </w:p>
              </w:tc>
              <w:tc>
                <w:tcPr>
                  <w:tcW w:w="915" w:type="pct"/>
                  <w:tcBorders>
                    <w:tl2br w:val="nil"/>
                    <w:tr2bl w:val="nil"/>
                  </w:tcBorders>
                  <w:noWrap w:val="0"/>
                  <w:vAlign w:val="center"/>
                </w:tcPr>
                <w:p w14:paraId="7EC6C11A">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边角料</w:t>
                  </w:r>
                </w:p>
              </w:tc>
              <w:tc>
                <w:tcPr>
                  <w:tcW w:w="403" w:type="pct"/>
                  <w:tcBorders>
                    <w:tl2br w:val="nil"/>
                    <w:tr2bl w:val="nil"/>
                  </w:tcBorders>
                  <w:noWrap w:val="0"/>
                  <w:vAlign w:val="center"/>
                </w:tcPr>
                <w:p w14:paraId="1E97CD91">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w:t>
                  </w:r>
                </w:p>
              </w:tc>
              <w:tc>
                <w:tcPr>
                  <w:tcW w:w="467" w:type="pct"/>
                  <w:tcBorders>
                    <w:tl2br w:val="nil"/>
                    <w:tr2bl w:val="nil"/>
                  </w:tcBorders>
                  <w:noWrap w:val="0"/>
                  <w:vAlign w:val="center"/>
                </w:tcPr>
                <w:p w14:paraId="0B78DB2E">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SW59</w:t>
                  </w:r>
                </w:p>
              </w:tc>
              <w:tc>
                <w:tcPr>
                  <w:tcW w:w="790" w:type="pct"/>
                  <w:tcBorders>
                    <w:tl2br w:val="nil"/>
                    <w:tr2bl w:val="nil"/>
                  </w:tcBorders>
                  <w:noWrap w:val="0"/>
                  <w:vAlign w:val="center"/>
                </w:tcPr>
                <w:p w14:paraId="615E37B4">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kern w:val="0"/>
                      <w:sz w:val="21"/>
                      <w:szCs w:val="21"/>
                      <w:lang w:val="en-US" w:eastAsia="zh-CN" w:bidi="ar-SA"/>
                    </w:rPr>
                  </w:pPr>
                  <w:r>
                    <w:rPr>
                      <w:rFonts w:hint="default" w:ascii="Times New Roman" w:hAnsi="Times New Roman" w:eastAsia="宋体" w:cs="Times New Roman"/>
                      <w:snapToGrid w:val="0"/>
                      <w:color w:val="000000"/>
                      <w:kern w:val="0"/>
                      <w:sz w:val="21"/>
                      <w:szCs w:val="21"/>
                      <w:lang w:val="en-US" w:eastAsia="zh-CN" w:bidi="ar-SA"/>
                    </w:rPr>
                    <w:t>900-099-S59</w:t>
                  </w:r>
                </w:p>
              </w:tc>
              <w:tc>
                <w:tcPr>
                  <w:tcW w:w="1357" w:type="pct"/>
                  <w:tcBorders>
                    <w:tl2br w:val="nil"/>
                    <w:tr2bl w:val="nil"/>
                  </w:tcBorders>
                  <w:noWrap w:val="0"/>
                  <w:vAlign w:val="center"/>
                </w:tcPr>
                <w:p w14:paraId="107B926F">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rPr>
                    <w:t>收集后外售</w:t>
                  </w:r>
                </w:p>
              </w:tc>
            </w:tr>
            <w:tr w14:paraId="091A0C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 w:type="pct"/>
                  <w:tcBorders>
                    <w:tl2br w:val="nil"/>
                    <w:tr2bl w:val="nil"/>
                  </w:tcBorders>
                  <w:noWrap w:val="0"/>
                  <w:vAlign w:val="center"/>
                </w:tcPr>
                <w:p w14:paraId="1EA086EF">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3</w:t>
                  </w:r>
                </w:p>
              </w:tc>
              <w:tc>
                <w:tcPr>
                  <w:tcW w:w="702" w:type="pct"/>
                  <w:vMerge w:val="restart"/>
                  <w:tcBorders>
                    <w:tl2br w:val="nil"/>
                    <w:tr2bl w:val="nil"/>
                  </w:tcBorders>
                  <w:noWrap w:val="0"/>
                  <w:vAlign w:val="center"/>
                </w:tcPr>
                <w:p w14:paraId="0FC4E63B">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危险废物</w:t>
                  </w:r>
                </w:p>
              </w:tc>
              <w:tc>
                <w:tcPr>
                  <w:tcW w:w="915" w:type="pct"/>
                  <w:tcBorders>
                    <w:tl2br w:val="nil"/>
                    <w:tr2bl w:val="nil"/>
                  </w:tcBorders>
                  <w:noWrap w:val="0"/>
                  <w:vAlign w:val="center"/>
                </w:tcPr>
                <w:p w14:paraId="4AC6B7DF">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废原料包装桶</w:t>
                  </w:r>
                </w:p>
              </w:tc>
              <w:tc>
                <w:tcPr>
                  <w:tcW w:w="403" w:type="pct"/>
                  <w:tcBorders>
                    <w:tl2br w:val="nil"/>
                    <w:tr2bl w:val="nil"/>
                  </w:tcBorders>
                  <w:noWrap w:val="0"/>
                  <w:vAlign w:val="center"/>
                </w:tcPr>
                <w:p w14:paraId="00DADFE7">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T/In</w:t>
                  </w:r>
                </w:p>
              </w:tc>
              <w:tc>
                <w:tcPr>
                  <w:tcW w:w="467" w:type="pct"/>
                  <w:tcBorders>
                    <w:tl2br w:val="nil"/>
                    <w:tr2bl w:val="nil"/>
                  </w:tcBorders>
                  <w:noWrap w:val="0"/>
                  <w:vAlign w:val="center"/>
                </w:tcPr>
                <w:p w14:paraId="31DC9421">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HW49</w:t>
                  </w:r>
                </w:p>
              </w:tc>
              <w:tc>
                <w:tcPr>
                  <w:tcW w:w="790" w:type="pct"/>
                  <w:tcBorders>
                    <w:tl2br w:val="nil"/>
                    <w:tr2bl w:val="nil"/>
                  </w:tcBorders>
                  <w:noWrap w:val="0"/>
                  <w:vAlign w:val="center"/>
                </w:tcPr>
                <w:p w14:paraId="7109FE12">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kern w:val="0"/>
                      <w:sz w:val="21"/>
                      <w:szCs w:val="21"/>
                      <w:lang w:val="en-US" w:eastAsia="zh-CN" w:bidi="ar-SA"/>
                    </w:rPr>
                  </w:pPr>
                  <w:r>
                    <w:rPr>
                      <w:rFonts w:hint="default" w:ascii="Times New Roman" w:hAnsi="Times New Roman" w:eastAsia="宋体" w:cs="Times New Roman"/>
                      <w:snapToGrid w:val="0"/>
                      <w:color w:val="000000"/>
                      <w:kern w:val="0"/>
                      <w:sz w:val="21"/>
                      <w:szCs w:val="21"/>
                      <w:lang w:val="en-US" w:eastAsia="zh-CN" w:bidi="ar-SA"/>
                    </w:rPr>
                    <w:t>900-041-49</w:t>
                  </w:r>
                </w:p>
              </w:tc>
              <w:tc>
                <w:tcPr>
                  <w:tcW w:w="1357" w:type="pct"/>
                  <w:vMerge w:val="restart"/>
                  <w:tcBorders>
                    <w:tl2br w:val="nil"/>
                    <w:tr2bl w:val="nil"/>
                  </w:tcBorders>
                  <w:noWrap w:val="0"/>
                  <w:vAlign w:val="center"/>
                </w:tcPr>
                <w:p w14:paraId="57792129">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eastAsia"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rPr>
                    <w:t>集中收</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集后，</w:t>
                  </w:r>
                  <w:r>
                    <w:rPr>
                      <w:rFonts w:hint="eastAsia" w:ascii="Times New Roman" w:hAnsi="Times New Roman" w:eastAsia="宋体" w:cs="Times New Roman"/>
                      <w:color w:val="000000" w:themeColor="text1"/>
                      <w:kern w:val="2"/>
                      <w:sz w:val="21"/>
                      <w:szCs w:val="21"/>
                      <w:highlight w:val="none"/>
                      <w:lang w:eastAsia="zh-CN"/>
                      <w14:textFill>
                        <w14:solidFill>
                          <w14:schemeClr w14:val="tx1"/>
                        </w14:solidFill>
                      </w14:textFill>
                    </w:rPr>
                    <w:t>贮存</w:t>
                  </w:r>
                  <w:r>
                    <w:rPr>
                      <w:rFonts w:hint="default" w:ascii="Times New Roman" w:hAnsi="Times New Roman" w:eastAsia="宋体" w:cs="Times New Roman"/>
                      <w:color w:val="000000" w:themeColor="text1"/>
                      <w:kern w:val="2"/>
                      <w:sz w:val="21"/>
                      <w:szCs w:val="21"/>
                      <w:highlight w:val="none"/>
                      <w14:textFill>
                        <w14:solidFill>
                          <w14:schemeClr w14:val="tx1"/>
                        </w14:solidFill>
                      </w14:textFill>
                    </w:rPr>
                    <w:t>于危废间，委托</w:t>
                  </w:r>
                  <w:r>
                    <w:rPr>
                      <w:rFonts w:hint="eastAsia" w:ascii="Times New Roman" w:hAnsi="Times New Roman" w:eastAsia="宋体" w:cs="Times New Roman"/>
                      <w:color w:val="000000" w:themeColor="text1"/>
                      <w:kern w:val="2"/>
                      <w:sz w:val="21"/>
                      <w:szCs w:val="21"/>
                      <w:highlight w:val="none"/>
                      <w:lang w:eastAsia="zh-CN"/>
                      <w14:textFill>
                        <w14:solidFill>
                          <w14:schemeClr w14:val="tx1"/>
                        </w14:solidFill>
                      </w14:textFill>
                    </w:rPr>
                    <w:t>马鞍山澳新环保科技有限公司</w:t>
                  </w:r>
                  <w:r>
                    <w:rPr>
                      <w:rFonts w:hint="eastAsia" w:ascii="Times New Roman" w:hAnsi="Times New Roman" w:eastAsia="宋体" w:cs="Times New Roman"/>
                      <w:color w:val="000000" w:themeColor="text1"/>
                      <w:kern w:val="2"/>
                      <w:sz w:val="21"/>
                      <w:szCs w:val="21"/>
                      <w:highlight w:val="none"/>
                      <w:lang w:val="en-US" w:eastAsia="zh-CN"/>
                      <w14:textFill>
                        <w14:solidFill>
                          <w14:schemeClr w14:val="tx1"/>
                        </w14:solidFill>
                      </w14:textFill>
                    </w:rPr>
                    <w:t>处理处置</w:t>
                  </w:r>
                </w:p>
              </w:tc>
            </w:tr>
            <w:tr w14:paraId="1082C2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 w:type="pct"/>
                  <w:tcBorders>
                    <w:tl2br w:val="nil"/>
                    <w:tr2bl w:val="nil"/>
                  </w:tcBorders>
                  <w:noWrap w:val="0"/>
                  <w:vAlign w:val="center"/>
                </w:tcPr>
                <w:p w14:paraId="318A93D6">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4</w:t>
                  </w:r>
                </w:p>
              </w:tc>
              <w:tc>
                <w:tcPr>
                  <w:tcW w:w="702" w:type="pct"/>
                  <w:vMerge w:val="continue"/>
                  <w:tcBorders>
                    <w:tl2br w:val="nil"/>
                    <w:tr2bl w:val="nil"/>
                  </w:tcBorders>
                  <w:noWrap w:val="0"/>
                  <w:vAlign w:val="center"/>
                </w:tcPr>
                <w:p w14:paraId="7C57EC49">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p>
              </w:tc>
              <w:tc>
                <w:tcPr>
                  <w:tcW w:w="915" w:type="pct"/>
                  <w:tcBorders>
                    <w:tl2br w:val="nil"/>
                    <w:tr2bl w:val="nil"/>
                  </w:tcBorders>
                  <w:noWrap w:val="0"/>
                  <w:vAlign w:val="center"/>
                </w:tcPr>
                <w:p w14:paraId="5C4C1BA9">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highlight w:val="none"/>
                      <w:lang w:val="en-US" w:eastAsia="zh-CN"/>
                    </w:rPr>
                    <w:t>废抹布</w:t>
                  </w:r>
                </w:p>
              </w:tc>
              <w:tc>
                <w:tcPr>
                  <w:tcW w:w="403" w:type="pct"/>
                  <w:tcBorders>
                    <w:tl2br w:val="nil"/>
                    <w:tr2bl w:val="nil"/>
                  </w:tcBorders>
                  <w:noWrap w:val="0"/>
                  <w:vAlign w:val="center"/>
                </w:tcPr>
                <w:p w14:paraId="54CE54A4">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T/In</w:t>
                  </w:r>
                </w:p>
              </w:tc>
              <w:tc>
                <w:tcPr>
                  <w:tcW w:w="467" w:type="pct"/>
                  <w:tcBorders>
                    <w:tl2br w:val="nil"/>
                    <w:tr2bl w:val="nil"/>
                  </w:tcBorders>
                  <w:noWrap w:val="0"/>
                  <w:vAlign w:val="center"/>
                </w:tcPr>
                <w:p w14:paraId="20943C4B">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HW49</w:t>
                  </w:r>
                </w:p>
              </w:tc>
              <w:tc>
                <w:tcPr>
                  <w:tcW w:w="790" w:type="pct"/>
                  <w:tcBorders>
                    <w:tl2br w:val="nil"/>
                    <w:tr2bl w:val="nil"/>
                  </w:tcBorders>
                  <w:noWrap w:val="0"/>
                  <w:vAlign w:val="center"/>
                </w:tcPr>
                <w:p w14:paraId="39279E5C">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kern w:val="0"/>
                      <w:sz w:val="21"/>
                      <w:szCs w:val="21"/>
                      <w:lang w:val="en-US" w:eastAsia="zh-CN" w:bidi="ar-SA"/>
                    </w:rPr>
                  </w:pPr>
                  <w:r>
                    <w:rPr>
                      <w:rFonts w:hint="default" w:ascii="Times New Roman" w:hAnsi="Times New Roman" w:eastAsia="宋体" w:cs="Times New Roman"/>
                      <w:snapToGrid w:val="0"/>
                      <w:color w:val="000000"/>
                      <w:kern w:val="0"/>
                      <w:sz w:val="21"/>
                      <w:szCs w:val="21"/>
                      <w:lang w:val="en-US" w:eastAsia="zh-CN" w:bidi="ar-SA"/>
                    </w:rPr>
                    <w:t>900-041-49</w:t>
                  </w:r>
                </w:p>
              </w:tc>
              <w:tc>
                <w:tcPr>
                  <w:tcW w:w="1357" w:type="pct"/>
                  <w:vMerge w:val="continue"/>
                  <w:tcBorders>
                    <w:tl2br w:val="nil"/>
                    <w:tr2bl w:val="nil"/>
                  </w:tcBorders>
                  <w:noWrap w:val="0"/>
                  <w:vAlign w:val="center"/>
                </w:tcPr>
                <w:p w14:paraId="4B5FBE38">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p>
              </w:tc>
            </w:tr>
            <w:tr w14:paraId="7C5F9F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 w:type="pct"/>
                  <w:tcBorders>
                    <w:tl2br w:val="nil"/>
                    <w:tr2bl w:val="nil"/>
                  </w:tcBorders>
                  <w:noWrap w:val="0"/>
                  <w:vAlign w:val="center"/>
                </w:tcPr>
                <w:p w14:paraId="594D186B">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5</w:t>
                  </w:r>
                </w:p>
              </w:tc>
              <w:tc>
                <w:tcPr>
                  <w:tcW w:w="702" w:type="pct"/>
                  <w:vMerge w:val="continue"/>
                  <w:tcBorders>
                    <w:tl2br w:val="nil"/>
                    <w:tr2bl w:val="nil"/>
                  </w:tcBorders>
                  <w:noWrap w:val="0"/>
                  <w:vAlign w:val="center"/>
                </w:tcPr>
                <w:p w14:paraId="4278880C">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p>
              </w:tc>
              <w:tc>
                <w:tcPr>
                  <w:tcW w:w="915" w:type="pct"/>
                  <w:tcBorders>
                    <w:tl2br w:val="nil"/>
                    <w:tr2bl w:val="nil"/>
                  </w:tcBorders>
                  <w:noWrap w:val="0"/>
                  <w:vAlign w:val="center"/>
                </w:tcPr>
                <w:p w14:paraId="1063F67A">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废胶</w:t>
                  </w:r>
                </w:p>
              </w:tc>
              <w:tc>
                <w:tcPr>
                  <w:tcW w:w="403" w:type="pct"/>
                  <w:tcBorders>
                    <w:tl2br w:val="nil"/>
                    <w:tr2bl w:val="nil"/>
                  </w:tcBorders>
                  <w:noWrap w:val="0"/>
                  <w:vAlign w:val="center"/>
                </w:tcPr>
                <w:p w14:paraId="5F0AD4C2">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T</w:t>
                  </w:r>
                </w:p>
              </w:tc>
              <w:tc>
                <w:tcPr>
                  <w:tcW w:w="467" w:type="pct"/>
                  <w:tcBorders>
                    <w:tl2br w:val="nil"/>
                    <w:tr2bl w:val="nil"/>
                  </w:tcBorders>
                  <w:noWrap w:val="0"/>
                  <w:vAlign w:val="center"/>
                </w:tcPr>
                <w:p w14:paraId="7A67F818">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HW13</w:t>
                  </w:r>
                </w:p>
              </w:tc>
              <w:tc>
                <w:tcPr>
                  <w:tcW w:w="790" w:type="pct"/>
                  <w:tcBorders>
                    <w:tl2br w:val="nil"/>
                    <w:tr2bl w:val="nil"/>
                  </w:tcBorders>
                  <w:noWrap w:val="0"/>
                  <w:vAlign w:val="center"/>
                </w:tcPr>
                <w:p w14:paraId="46C12DCB">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900-016-13</w:t>
                  </w:r>
                </w:p>
              </w:tc>
              <w:tc>
                <w:tcPr>
                  <w:tcW w:w="1357" w:type="pct"/>
                  <w:vMerge w:val="continue"/>
                  <w:tcBorders>
                    <w:tl2br w:val="nil"/>
                    <w:tr2bl w:val="nil"/>
                  </w:tcBorders>
                  <w:noWrap w:val="0"/>
                  <w:vAlign w:val="center"/>
                </w:tcPr>
                <w:p w14:paraId="465988DC">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p>
              </w:tc>
            </w:tr>
            <w:tr w14:paraId="49C4AA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 w:type="pct"/>
                  <w:tcBorders>
                    <w:tl2br w:val="nil"/>
                    <w:tr2bl w:val="nil"/>
                  </w:tcBorders>
                  <w:noWrap w:val="0"/>
                  <w:vAlign w:val="center"/>
                </w:tcPr>
                <w:p w14:paraId="1FD63063">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6</w:t>
                  </w:r>
                </w:p>
              </w:tc>
              <w:tc>
                <w:tcPr>
                  <w:tcW w:w="702" w:type="pct"/>
                  <w:vMerge w:val="continue"/>
                  <w:tcBorders>
                    <w:tl2br w:val="nil"/>
                    <w:tr2bl w:val="nil"/>
                  </w:tcBorders>
                  <w:noWrap w:val="0"/>
                  <w:vAlign w:val="center"/>
                </w:tcPr>
                <w:p w14:paraId="4E424275">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p>
              </w:tc>
              <w:tc>
                <w:tcPr>
                  <w:tcW w:w="915" w:type="pct"/>
                  <w:tcBorders>
                    <w:tl2br w:val="nil"/>
                    <w:tr2bl w:val="nil"/>
                  </w:tcBorders>
                  <w:noWrap w:val="0"/>
                  <w:vAlign w:val="center"/>
                </w:tcPr>
                <w:p w14:paraId="4081AD9A">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rPr>
                  </w:pPr>
                  <w:r>
                    <w:rPr>
                      <w:rFonts w:hint="eastAsia" w:ascii="宋体" w:hAnsi="宋体" w:eastAsia="宋体" w:cs="宋体"/>
                      <w:color w:val="auto"/>
                      <w:kern w:val="2"/>
                      <w:sz w:val="21"/>
                      <w:szCs w:val="21"/>
                      <w:lang w:val="en-US" w:eastAsia="zh-CN" w:bidi="ar-SA"/>
                    </w:rPr>
                    <w:t>废过滤介质</w:t>
                  </w:r>
                </w:p>
              </w:tc>
              <w:tc>
                <w:tcPr>
                  <w:tcW w:w="403" w:type="pct"/>
                  <w:tcBorders>
                    <w:tl2br w:val="nil"/>
                    <w:tr2bl w:val="nil"/>
                  </w:tcBorders>
                  <w:noWrap w:val="0"/>
                  <w:vAlign w:val="center"/>
                </w:tcPr>
                <w:p w14:paraId="75F9AAD4">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T/In</w:t>
                  </w:r>
                </w:p>
              </w:tc>
              <w:tc>
                <w:tcPr>
                  <w:tcW w:w="467" w:type="pct"/>
                  <w:tcBorders>
                    <w:tl2br w:val="nil"/>
                    <w:tr2bl w:val="nil"/>
                  </w:tcBorders>
                  <w:noWrap w:val="0"/>
                  <w:vAlign w:val="center"/>
                </w:tcPr>
                <w:p w14:paraId="4358D0F7">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HW49</w:t>
                  </w:r>
                </w:p>
              </w:tc>
              <w:tc>
                <w:tcPr>
                  <w:tcW w:w="790" w:type="pct"/>
                  <w:tcBorders>
                    <w:tl2br w:val="nil"/>
                    <w:tr2bl w:val="nil"/>
                  </w:tcBorders>
                  <w:noWrap w:val="0"/>
                  <w:vAlign w:val="center"/>
                </w:tcPr>
                <w:p w14:paraId="1B2596A0">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default" w:ascii="Times New Roman" w:hAnsi="Times New Roman" w:eastAsia="宋体" w:cs="Times New Roman"/>
                      <w:snapToGrid w:val="0"/>
                      <w:color w:val="000000"/>
                      <w:kern w:val="0"/>
                      <w:sz w:val="21"/>
                      <w:szCs w:val="21"/>
                      <w:lang w:val="en-US" w:eastAsia="zh-CN" w:bidi="ar-SA"/>
                    </w:rPr>
                    <w:t>900-041-49</w:t>
                  </w:r>
                </w:p>
              </w:tc>
              <w:tc>
                <w:tcPr>
                  <w:tcW w:w="1357" w:type="pct"/>
                  <w:vMerge w:val="continue"/>
                  <w:tcBorders>
                    <w:tl2br w:val="nil"/>
                    <w:tr2bl w:val="nil"/>
                  </w:tcBorders>
                  <w:noWrap w:val="0"/>
                  <w:vAlign w:val="center"/>
                </w:tcPr>
                <w:p w14:paraId="40A50D07">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p>
              </w:tc>
            </w:tr>
            <w:tr w14:paraId="4983D2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 w:type="pct"/>
                  <w:tcBorders>
                    <w:tl2br w:val="nil"/>
                    <w:tr2bl w:val="nil"/>
                  </w:tcBorders>
                  <w:noWrap w:val="0"/>
                  <w:vAlign w:val="center"/>
                </w:tcPr>
                <w:p w14:paraId="66976E8E">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7</w:t>
                  </w:r>
                </w:p>
              </w:tc>
              <w:tc>
                <w:tcPr>
                  <w:tcW w:w="702" w:type="pct"/>
                  <w:vMerge w:val="continue"/>
                  <w:tcBorders>
                    <w:tl2br w:val="nil"/>
                    <w:tr2bl w:val="nil"/>
                  </w:tcBorders>
                  <w:noWrap w:val="0"/>
                  <w:vAlign w:val="center"/>
                </w:tcPr>
                <w:p w14:paraId="081C5A78">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p>
              </w:tc>
              <w:tc>
                <w:tcPr>
                  <w:tcW w:w="915" w:type="pct"/>
                  <w:tcBorders>
                    <w:tl2br w:val="nil"/>
                    <w:tr2bl w:val="nil"/>
                  </w:tcBorders>
                  <w:noWrap w:val="0"/>
                  <w:vAlign w:val="center"/>
                </w:tcPr>
                <w:p w14:paraId="43878C41">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rPr>
                  </w:pPr>
                  <w:r>
                    <w:rPr>
                      <w:rFonts w:hint="eastAsia" w:ascii="宋体" w:hAnsi="宋体" w:eastAsia="宋体" w:cs="宋体"/>
                      <w:color w:val="auto"/>
                      <w:kern w:val="2"/>
                      <w:sz w:val="21"/>
                      <w:szCs w:val="21"/>
                      <w:lang w:val="en-US" w:eastAsia="zh-CN" w:bidi="ar-SA"/>
                    </w:rPr>
                    <w:t>废催化剂</w:t>
                  </w:r>
                </w:p>
              </w:tc>
              <w:tc>
                <w:tcPr>
                  <w:tcW w:w="403" w:type="pct"/>
                  <w:tcBorders>
                    <w:tl2br w:val="nil"/>
                    <w:tr2bl w:val="nil"/>
                  </w:tcBorders>
                  <w:noWrap w:val="0"/>
                  <w:vAlign w:val="center"/>
                </w:tcPr>
                <w:p w14:paraId="0E1B2E69">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T</w:t>
                  </w:r>
                </w:p>
              </w:tc>
              <w:tc>
                <w:tcPr>
                  <w:tcW w:w="467" w:type="pct"/>
                  <w:tcBorders>
                    <w:tl2br w:val="nil"/>
                    <w:tr2bl w:val="nil"/>
                  </w:tcBorders>
                  <w:noWrap w:val="0"/>
                  <w:vAlign w:val="center"/>
                </w:tcPr>
                <w:p w14:paraId="253AE691">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HW50</w:t>
                  </w:r>
                </w:p>
              </w:tc>
              <w:tc>
                <w:tcPr>
                  <w:tcW w:w="790" w:type="pct"/>
                  <w:tcBorders>
                    <w:tl2br w:val="nil"/>
                    <w:tr2bl w:val="nil"/>
                  </w:tcBorders>
                  <w:noWrap w:val="0"/>
                  <w:vAlign w:val="center"/>
                </w:tcPr>
                <w:p w14:paraId="218E5953">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900-049-50</w:t>
                  </w:r>
                </w:p>
              </w:tc>
              <w:tc>
                <w:tcPr>
                  <w:tcW w:w="1357" w:type="pct"/>
                  <w:vMerge w:val="continue"/>
                  <w:tcBorders>
                    <w:tl2br w:val="nil"/>
                    <w:tr2bl w:val="nil"/>
                  </w:tcBorders>
                  <w:noWrap w:val="0"/>
                  <w:vAlign w:val="center"/>
                </w:tcPr>
                <w:p w14:paraId="532BA961">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p>
              </w:tc>
            </w:tr>
            <w:tr w14:paraId="5D6326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3" w:type="pct"/>
                  <w:tcBorders>
                    <w:tl2br w:val="nil"/>
                    <w:tr2bl w:val="nil"/>
                  </w:tcBorders>
                  <w:noWrap w:val="0"/>
                  <w:vAlign w:val="center"/>
                </w:tcPr>
                <w:p w14:paraId="57571973">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8</w:t>
                  </w:r>
                </w:p>
              </w:tc>
              <w:tc>
                <w:tcPr>
                  <w:tcW w:w="702" w:type="pct"/>
                  <w:vMerge w:val="continue"/>
                  <w:tcBorders>
                    <w:tl2br w:val="nil"/>
                    <w:tr2bl w:val="nil"/>
                  </w:tcBorders>
                  <w:noWrap w:val="0"/>
                  <w:vAlign w:val="center"/>
                </w:tcPr>
                <w:p w14:paraId="6D2FA383">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p>
              </w:tc>
              <w:tc>
                <w:tcPr>
                  <w:tcW w:w="915" w:type="pct"/>
                  <w:tcBorders>
                    <w:tl2br w:val="nil"/>
                    <w:tr2bl w:val="nil"/>
                  </w:tcBorders>
                  <w:noWrap w:val="0"/>
                  <w:vAlign w:val="center"/>
                </w:tcPr>
                <w:p w14:paraId="51A92045">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highlight w:val="none"/>
                      <w:lang w:val="en-US" w:eastAsia="zh-CN"/>
                    </w:rPr>
                    <w:t>废活性炭</w:t>
                  </w:r>
                </w:p>
              </w:tc>
              <w:tc>
                <w:tcPr>
                  <w:tcW w:w="403" w:type="pct"/>
                  <w:tcBorders>
                    <w:tl2br w:val="nil"/>
                    <w:tr2bl w:val="nil"/>
                  </w:tcBorders>
                  <w:noWrap w:val="0"/>
                  <w:vAlign w:val="center"/>
                </w:tcPr>
                <w:p w14:paraId="451F9D1D">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T</w:t>
                  </w:r>
                </w:p>
              </w:tc>
              <w:tc>
                <w:tcPr>
                  <w:tcW w:w="467" w:type="pct"/>
                  <w:tcBorders>
                    <w:tl2br w:val="nil"/>
                    <w:tr2bl w:val="nil"/>
                  </w:tcBorders>
                  <w:noWrap w:val="0"/>
                  <w:vAlign w:val="center"/>
                </w:tcPr>
                <w:p w14:paraId="3C81638E">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HW49</w:t>
                  </w:r>
                </w:p>
              </w:tc>
              <w:tc>
                <w:tcPr>
                  <w:tcW w:w="790" w:type="pct"/>
                  <w:tcBorders>
                    <w:tl2br w:val="nil"/>
                    <w:tr2bl w:val="nil"/>
                  </w:tcBorders>
                  <w:noWrap w:val="0"/>
                  <w:vAlign w:val="center"/>
                </w:tcPr>
                <w:p w14:paraId="3021B423">
                  <w:pPr>
                    <w:keepNext w:val="0"/>
                    <w:keepLines w:val="0"/>
                    <w:pageBreakBefore w:val="0"/>
                    <w:widowControl/>
                    <w:tabs>
                      <w:tab w:val="left" w:pos="0"/>
                    </w:tabs>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900-039-49</w:t>
                  </w:r>
                </w:p>
              </w:tc>
              <w:tc>
                <w:tcPr>
                  <w:tcW w:w="1357" w:type="pct"/>
                  <w:vMerge w:val="continue"/>
                  <w:tcBorders>
                    <w:tl2br w:val="nil"/>
                    <w:tr2bl w:val="nil"/>
                  </w:tcBorders>
                  <w:noWrap w:val="0"/>
                  <w:vAlign w:val="center"/>
                </w:tcPr>
                <w:p w14:paraId="2BF88FBF">
                  <w:pPr>
                    <w:keepNext w:val="0"/>
                    <w:keepLines w:val="0"/>
                    <w:pageBreakBefore w:val="0"/>
                    <w:widowControl w:val="0"/>
                    <w:kinsoku/>
                    <w:wordWrap/>
                    <w:overflowPunct/>
                    <w:topLinePunct w:val="0"/>
                    <w:autoSpaceDE/>
                    <w:autoSpaceDN/>
                    <w:bidi w:val="0"/>
                    <w:adjustRightInd w:val="0"/>
                    <w:snapToGrid w:val="0"/>
                    <w:spacing w:after="0" w:afterLines="-2147483648" w:line="240" w:lineRule="auto"/>
                    <w:ind w:firstLine="0" w:firstLineChars="0"/>
                    <w:jc w:val="center"/>
                    <w:textAlignment w:val="auto"/>
                    <w:rPr>
                      <w:rFonts w:hint="default" w:ascii="Times New Roman" w:hAnsi="Times New Roman" w:eastAsia="宋体" w:cs="Times New Roman"/>
                      <w:color w:val="auto"/>
                      <w:kern w:val="2"/>
                      <w:sz w:val="21"/>
                      <w:szCs w:val="21"/>
                    </w:rPr>
                  </w:pPr>
                </w:p>
              </w:tc>
            </w:tr>
          </w:tbl>
          <w:p w14:paraId="0089E24E">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3.</w:t>
            </w:r>
            <w:r>
              <w:rPr>
                <w:rFonts w:hint="eastAsia" w:ascii="Times New Roman" w:hAnsi="Times New Roman" w:eastAsia="宋体" w:cs="Times New Roman"/>
                <w:b/>
                <w:bCs/>
                <w:color w:val="auto"/>
                <w:sz w:val="24"/>
                <w:szCs w:val="24"/>
                <w:lang w:val="en-US" w:eastAsia="zh-CN"/>
              </w:rPr>
              <w:t>2防护距离</w:t>
            </w:r>
          </w:p>
          <w:p w14:paraId="555E7C4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val="en-US" w:eastAsia="zh-CN"/>
              </w:rPr>
              <w:t>环境防护距离设为项目厂界外100m。项目设置的环境防护范围内无其他居民小区、学校、食品加工企业和医药加工企业等敏感目标，满足环境防护距离的要求。</w:t>
            </w:r>
          </w:p>
          <w:p w14:paraId="51500217">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3.3</w:t>
            </w:r>
            <w:r>
              <w:rPr>
                <w:rFonts w:hint="default" w:ascii="Times New Roman" w:hAnsi="Times New Roman" w:eastAsia="宋体" w:cs="Times New Roman"/>
                <w:b/>
                <w:bCs/>
                <w:color w:val="auto"/>
                <w:sz w:val="24"/>
                <w:szCs w:val="24"/>
                <w:lang w:val="en-US" w:eastAsia="zh-CN"/>
              </w:rPr>
              <w:t>环保工程</w:t>
            </w:r>
          </w:p>
          <w:p w14:paraId="274AD03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val="en-US" w:eastAsia="zh-CN"/>
              </w:rPr>
              <w:t>（现阶段）</w:t>
            </w:r>
            <w:r>
              <w:rPr>
                <w:rFonts w:hint="default" w:ascii="Times New Roman" w:hAnsi="Times New Roman" w:eastAsia="宋体" w:cs="Times New Roman"/>
                <w:color w:val="auto"/>
                <w:sz w:val="24"/>
                <w:szCs w:val="24"/>
                <w:lang w:val="en-US" w:eastAsia="zh-CN"/>
              </w:rPr>
              <w:t>实际总投资</w:t>
            </w:r>
            <w:r>
              <w:rPr>
                <w:rFonts w:hint="eastAsia" w:ascii="Times New Roman" w:hAnsi="Times New Roman" w:eastAsia="宋体" w:cs="Times New Roman"/>
                <w:color w:val="auto"/>
                <w:sz w:val="24"/>
                <w:szCs w:val="24"/>
                <w:lang w:val="en-US" w:eastAsia="zh-CN"/>
              </w:rPr>
              <w:t>1800</w:t>
            </w:r>
            <w:r>
              <w:rPr>
                <w:rFonts w:hint="default" w:ascii="Times New Roman" w:hAnsi="Times New Roman" w:eastAsia="宋体" w:cs="Times New Roman"/>
                <w:color w:val="auto"/>
                <w:sz w:val="24"/>
                <w:szCs w:val="24"/>
                <w:lang w:val="en-US" w:eastAsia="zh-CN"/>
              </w:rPr>
              <w:t>万元，其中环保投资约</w:t>
            </w:r>
            <w:r>
              <w:rPr>
                <w:rFonts w:hint="eastAsia" w:ascii="Times New Roman" w:hAnsi="Times New Roman" w:eastAsia="宋体" w:cs="Times New Roman"/>
                <w:color w:val="auto"/>
                <w:sz w:val="24"/>
                <w:szCs w:val="24"/>
                <w:lang w:val="en-US" w:eastAsia="zh-CN"/>
              </w:rPr>
              <w:t>54</w:t>
            </w:r>
            <w:r>
              <w:rPr>
                <w:rFonts w:hint="default" w:ascii="Times New Roman" w:hAnsi="Times New Roman" w:eastAsia="宋体" w:cs="Times New Roman"/>
                <w:color w:val="auto"/>
                <w:sz w:val="24"/>
                <w:szCs w:val="24"/>
                <w:lang w:val="en-US" w:eastAsia="zh-CN"/>
              </w:rPr>
              <w:t>万元，占总投资的</w:t>
            </w:r>
            <w:r>
              <w:rPr>
                <w:rFonts w:hint="eastAsia" w:ascii="Times New Roman" w:hAnsi="Times New Roman" w:eastAsia="宋体" w:cs="Times New Roman"/>
                <w:color w:val="auto"/>
                <w:sz w:val="24"/>
                <w:szCs w:val="24"/>
                <w:lang w:val="en-US" w:eastAsia="zh-CN"/>
              </w:rPr>
              <w:t>3.00</w:t>
            </w:r>
            <w:r>
              <w:rPr>
                <w:rFonts w:hint="default" w:ascii="Times New Roman" w:hAnsi="Times New Roman" w:eastAsia="宋体" w:cs="Times New Roman"/>
                <w:color w:val="auto"/>
                <w:sz w:val="24"/>
                <w:szCs w:val="24"/>
                <w:lang w:val="en-US" w:eastAsia="zh-CN"/>
              </w:rPr>
              <w:t>%。</w:t>
            </w:r>
          </w:p>
          <w:p w14:paraId="51F7D523">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项目环保投资一览表如下：</w:t>
            </w:r>
          </w:p>
          <w:p w14:paraId="0B7CFD1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表3-2 环保设施及环保投资一览表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555"/>
              <w:gridCol w:w="757"/>
              <w:gridCol w:w="955"/>
              <w:gridCol w:w="1563"/>
              <w:gridCol w:w="2699"/>
              <w:gridCol w:w="887"/>
              <w:gridCol w:w="887"/>
            </w:tblGrid>
            <w:tr w14:paraId="0FCA75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4" w:type="pct"/>
                  <w:tcBorders>
                    <w:tl2br w:val="nil"/>
                    <w:tr2bl w:val="nil"/>
                  </w:tcBorders>
                  <w:noWrap w:val="0"/>
                  <w:vAlign w:val="center"/>
                </w:tcPr>
                <w:p w14:paraId="0AA90E0A">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b/>
                      <w:color w:val="auto"/>
                      <w:kern w:val="2"/>
                      <w:sz w:val="21"/>
                      <w:szCs w:val="21"/>
                    </w:rPr>
                  </w:pPr>
                  <w:r>
                    <w:rPr>
                      <w:rFonts w:hint="default" w:ascii="Times New Roman" w:hAnsi="Times New Roman" w:eastAsia="宋体" w:cs="Times New Roman"/>
                      <w:b/>
                      <w:color w:val="auto"/>
                      <w:kern w:val="2"/>
                      <w:sz w:val="21"/>
                      <w:szCs w:val="21"/>
                    </w:rPr>
                    <w:t>序号</w:t>
                  </w:r>
                </w:p>
              </w:tc>
              <w:tc>
                <w:tcPr>
                  <w:tcW w:w="456" w:type="pct"/>
                  <w:tcBorders>
                    <w:tl2br w:val="nil"/>
                    <w:tr2bl w:val="nil"/>
                  </w:tcBorders>
                  <w:noWrap w:val="0"/>
                  <w:vAlign w:val="center"/>
                </w:tcPr>
                <w:p w14:paraId="76038216">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b/>
                      <w:color w:val="auto"/>
                      <w:kern w:val="2"/>
                      <w:sz w:val="21"/>
                      <w:szCs w:val="21"/>
                    </w:rPr>
                  </w:pPr>
                  <w:r>
                    <w:rPr>
                      <w:rFonts w:hint="default" w:ascii="Times New Roman" w:hAnsi="Times New Roman" w:eastAsia="宋体" w:cs="Times New Roman"/>
                      <w:b/>
                      <w:color w:val="auto"/>
                      <w:kern w:val="2"/>
                      <w:sz w:val="21"/>
                      <w:szCs w:val="21"/>
                    </w:rPr>
                    <w:t>类别</w:t>
                  </w:r>
                </w:p>
              </w:tc>
              <w:tc>
                <w:tcPr>
                  <w:tcW w:w="575" w:type="pct"/>
                  <w:tcBorders>
                    <w:tl2br w:val="nil"/>
                    <w:tr2bl w:val="nil"/>
                  </w:tcBorders>
                  <w:noWrap w:val="0"/>
                  <w:vAlign w:val="center"/>
                </w:tcPr>
                <w:p w14:paraId="35E64ED8">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b/>
                      <w:color w:val="auto"/>
                      <w:kern w:val="2"/>
                      <w:sz w:val="21"/>
                      <w:szCs w:val="21"/>
                    </w:rPr>
                  </w:pPr>
                  <w:r>
                    <w:rPr>
                      <w:rFonts w:hint="default" w:ascii="Times New Roman" w:hAnsi="Times New Roman" w:eastAsia="宋体" w:cs="Times New Roman"/>
                      <w:b/>
                      <w:color w:val="auto"/>
                      <w:kern w:val="2"/>
                      <w:sz w:val="21"/>
                      <w:szCs w:val="21"/>
                    </w:rPr>
                    <w:t>污染源</w:t>
                  </w:r>
                </w:p>
              </w:tc>
              <w:tc>
                <w:tcPr>
                  <w:tcW w:w="941" w:type="pct"/>
                  <w:tcBorders>
                    <w:tl2br w:val="nil"/>
                    <w:tr2bl w:val="nil"/>
                  </w:tcBorders>
                  <w:noWrap w:val="0"/>
                  <w:vAlign w:val="center"/>
                </w:tcPr>
                <w:p w14:paraId="65C7C0BB">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b/>
                      <w:color w:val="auto"/>
                      <w:kern w:val="2"/>
                      <w:sz w:val="21"/>
                      <w:szCs w:val="21"/>
                    </w:rPr>
                  </w:pPr>
                  <w:r>
                    <w:rPr>
                      <w:rFonts w:hint="default" w:ascii="Times New Roman" w:hAnsi="Times New Roman" w:eastAsia="宋体" w:cs="Times New Roman"/>
                      <w:b/>
                      <w:color w:val="auto"/>
                      <w:kern w:val="2"/>
                      <w:sz w:val="21"/>
                      <w:szCs w:val="21"/>
                    </w:rPr>
                    <w:t>污染物</w:t>
                  </w:r>
                </w:p>
              </w:tc>
              <w:tc>
                <w:tcPr>
                  <w:tcW w:w="1623" w:type="pct"/>
                  <w:tcBorders>
                    <w:tl2br w:val="nil"/>
                    <w:tr2bl w:val="nil"/>
                  </w:tcBorders>
                  <w:noWrap w:val="0"/>
                  <w:vAlign w:val="center"/>
                </w:tcPr>
                <w:p w14:paraId="0DB3D6E4">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b/>
                      <w:color w:val="auto"/>
                      <w:kern w:val="2"/>
                      <w:sz w:val="21"/>
                      <w:szCs w:val="21"/>
                    </w:rPr>
                  </w:pPr>
                  <w:r>
                    <w:rPr>
                      <w:rFonts w:hint="default" w:ascii="Times New Roman" w:hAnsi="Times New Roman" w:eastAsia="宋体" w:cs="Times New Roman"/>
                      <w:b/>
                      <w:color w:val="auto"/>
                      <w:kern w:val="2"/>
                      <w:sz w:val="21"/>
                      <w:szCs w:val="21"/>
                    </w:rPr>
                    <w:t>环保设施名称</w:t>
                  </w:r>
                </w:p>
              </w:tc>
              <w:tc>
                <w:tcPr>
                  <w:tcW w:w="534" w:type="pct"/>
                  <w:tcBorders>
                    <w:tl2br w:val="nil"/>
                    <w:tr2bl w:val="nil"/>
                  </w:tcBorders>
                  <w:noWrap w:val="0"/>
                  <w:vAlign w:val="center"/>
                </w:tcPr>
                <w:p w14:paraId="0421AB31">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b/>
                      <w:color w:val="auto"/>
                      <w:kern w:val="2"/>
                      <w:sz w:val="21"/>
                      <w:szCs w:val="21"/>
                    </w:rPr>
                  </w:pPr>
                  <w:r>
                    <w:rPr>
                      <w:rFonts w:hint="eastAsia" w:ascii="Times New Roman" w:hAnsi="Times New Roman" w:eastAsia="宋体" w:cs="Times New Roman"/>
                      <w:b/>
                      <w:color w:val="auto"/>
                      <w:kern w:val="2"/>
                      <w:sz w:val="21"/>
                      <w:szCs w:val="21"/>
                      <w:lang w:val="en-US" w:eastAsia="zh-CN"/>
                    </w:rPr>
                    <w:t>环评设计</w:t>
                  </w:r>
                  <w:r>
                    <w:rPr>
                      <w:rFonts w:hint="default" w:ascii="Times New Roman" w:hAnsi="Times New Roman" w:eastAsia="宋体" w:cs="Times New Roman"/>
                      <w:b/>
                      <w:color w:val="auto"/>
                      <w:kern w:val="2"/>
                      <w:sz w:val="21"/>
                      <w:szCs w:val="21"/>
                    </w:rPr>
                    <w:t>环保投资（万元）</w:t>
                  </w:r>
                </w:p>
              </w:tc>
              <w:tc>
                <w:tcPr>
                  <w:tcW w:w="534" w:type="pct"/>
                  <w:tcBorders>
                    <w:tl2br w:val="nil"/>
                    <w:tr2bl w:val="nil"/>
                  </w:tcBorders>
                  <w:noWrap w:val="0"/>
                  <w:vAlign w:val="center"/>
                </w:tcPr>
                <w:p w14:paraId="3A97A42D">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b/>
                      <w:color w:val="auto"/>
                      <w:kern w:val="2"/>
                      <w:sz w:val="21"/>
                      <w:szCs w:val="21"/>
                      <w:lang w:val="en-US" w:eastAsia="zh-CN"/>
                    </w:rPr>
                  </w:pPr>
                  <w:r>
                    <w:rPr>
                      <w:rFonts w:hint="eastAsia" w:ascii="Times New Roman" w:hAnsi="Times New Roman" w:eastAsia="宋体" w:cs="Times New Roman"/>
                      <w:b/>
                      <w:color w:val="auto"/>
                      <w:kern w:val="2"/>
                      <w:sz w:val="21"/>
                      <w:szCs w:val="21"/>
                      <w:lang w:val="en-US" w:eastAsia="zh-CN"/>
                    </w:rPr>
                    <w:t>现阶段实际环保投资</w:t>
                  </w:r>
                  <w:r>
                    <w:rPr>
                      <w:rFonts w:hint="default" w:ascii="Times New Roman" w:hAnsi="Times New Roman" w:eastAsia="宋体" w:cs="Times New Roman"/>
                      <w:b/>
                      <w:color w:val="auto"/>
                      <w:kern w:val="2"/>
                      <w:sz w:val="21"/>
                      <w:szCs w:val="21"/>
                    </w:rPr>
                    <w:t>（万元）</w:t>
                  </w:r>
                </w:p>
              </w:tc>
            </w:tr>
            <w:tr w14:paraId="48D1E5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4" w:type="pct"/>
                  <w:tcBorders>
                    <w:tl2br w:val="nil"/>
                    <w:tr2bl w:val="nil"/>
                  </w:tcBorders>
                  <w:noWrap w:val="0"/>
                  <w:vAlign w:val="center"/>
                </w:tcPr>
                <w:p w14:paraId="52F6DA37">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1</w:t>
                  </w:r>
                </w:p>
              </w:tc>
              <w:tc>
                <w:tcPr>
                  <w:tcW w:w="456" w:type="pct"/>
                  <w:tcBorders>
                    <w:tl2br w:val="nil"/>
                    <w:tr2bl w:val="nil"/>
                  </w:tcBorders>
                  <w:noWrap w:val="0"/>
                  <w:vAlign w:val="center"/>
                </w:tcPr>
                <w:p w14:paraId="61C98603">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废水</w:t>
                  </w:r>
                </w:p>
              </w:tc>
              <w:tc>
                <w:tcPr>
                  <w:tcW w:w="3140" w:type="pct"/>
                  <w:gridSpan w:val="3"/>
                  <w:tcBorders>
                    <w:tl2br w:val="nil"/>
                    <w:tr2bl w:val="nil"/>
                  </w:tcBorders>
                  <w:noWrap w:val="0"/>
                  <w:vAlign w:val="center"/>
                </w:tcPr>
                <w:p w14:paraId="6544C512">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雨污分流，</w:t>
                  </w:r>
                  <w:r>
                    <w:rPr>
                      <w:rFonts w:hint="default" w:ascii="Times New Roman" w:hAnsi="Times New Roman" w:eastAsia="宋体" w:cs="Times New Roman"/>
                      <w:color w:val="auto"/>
                      <w:kern w:val="2"/>
                      <w:sz w:val="21"/>
                      <w:szCs w:val="21"/>
                    </w:rPr>
                    <w:t>生活污水经</w:t>
                  </w:r>
                  <w:r>
                    <w:rPr>
                      <w:rFonts w:hint="eastAsia" w:ascii="Times New Roman" w:hAnsi="Times New Roman" w:eastAsia="宋体" w:cs="Times New Roman"/>
                      <w:color w:val="auto"/>
                      <w:kern w:val="2"/>
                      <w:sz w:val="21"/>
                      <w:szCs w:val="24"/>
                      <w:lang w:val="en-US" w:eastAsia="zh-CN"/>
                    </w:rPr>
                    <w:t>歙县循环经济园区污水处理厂处理达到</w:t>
                  </w:r>
                  <w:r>
                    <w:rPr>
                      <w:rFonts w:hint="default" w:ascii="Times New Roman" w:hAnsi="Times New Roman" w:eastAsia="宋体" w:cs="Times New Roman"/>
                      <w:color w:val="auto"/>
                      <w:kern w:val="2"/>
                      <w:sz w:val="21"/>
                      <w:szCs w:val="24"/>
                      <w:lang w:val="en-US" w:eastAsia="zh-CN"/>
                    </w:rPr>
                    <w:t>GB8978-1996</w:t>
                  </w:r>
                  <w:r>
                    <w:rPr>
                      <w:rFonts w:hint="eastAsia" w:ascii="Times New Roman" w:hAnsi="Times New Roman" w:eastAsia="宋体" w:cs="Times New Roman"/>
                      <w:color w:val="auto"/>
                      <w:kern w:val="2"/>
                      <w:sz w:val="21"/>
                      <w:szCs w:val="24"/>
                      <w:lang w:val="en-US" w:eastAsia="zh-CN"/>
                    </w:rPr>
                    <w:t>《污水综合排放标准》表</w:t>
                  </w:r>
                  <w:r>
                    <w:rPr>
                      <w:rFonts w:hint="default" w:ascii="Times New Roman" w:hAnsi="Times New Roman" w:eastAsia="宋体" w:cs="Times New Roman"/>
                      <w:color w:val="auto"/>
                      <w:kern w:val="2"/>
                      <w:sz w:val="21"/>
                      <w:szCs w:val="24"/>
                      <w:lang w:val="en-US" w:eastAsia="zh-CN"/>
                    </w:rPr>
                    <w:t>4</w:t>
                  </w:r>
                  <w:r>
                    <w:rPr>
                      <w:rFonts w:hint="eastAsia" w:ascii="Times New Roman" w:hAnsi="Times New Roman" w:eastAsia="宋体" w:cs="Times New Roman"/>
                      <w:color w:val="auto"/>
                      <w:kern w:val="2"/>
                      <w:sz w:val="21"/>
                      <w:szCs w:val="24"/>
                      <w:lang w:val="en-US" w:eastAsia="zh-CN"/>
                    </w:rPr>
                    <w:t>中的三级排放标准，再由市政污水管网进入歙县污水处理厂深度处理后排入练江</w:t>
                  </w:r>
                </w:p>
              </w:tc>
              <w:tc>
                <w:tcPr>
                  <w:tcW w:w="534" w:type="pct"/>
                  <w:tcBorders>
                    <w:tl2br w:val="nil"/>
                    <w:tr2bl w:val="nil"/>
                  </w:tcBorders>
                  <w:noWrap w:val="0"/>
                  <w:vAlign w:val="center"/>
                </w:tcPr>
                <w:p w14:paraId="02EF529C">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5</w:t>
                  </w:r>
                </w:p>
              </w:tc>
              <w:tc>
                <w:tcPr>
                  <w:tcW w:w="534" w:type="pct"/>
                  <w:tcBorders>
                    <w:tl2br w:val="nil"/>
                    <w:tr2bl w:val="nil"/>
                  </w:tcBorders>
                  <w:noWrap w:val="0"/>
                  <w:vAlign w:val="center"/>
                </w:tcPr>
                <w:p w14:paraId="7E396D0D">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2</w:t>
                  </w:r>
                </w:p>
              </w:tc>
            </w:tr>
            <w:tr w14:paraId="7DFF78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1331" w:hRule="atLeast"/>
                <w:jc w:val="center"/>
              </w:trPr>
              <w:tc>
                <w:tcPr>
                  <w:tcW w:w="334" w:type="pct"/>
                  <w:tcBorders>
                    <w:tl2br w:val="nil"/>
                    <w:tr2bl w:val="nil"/>
                  </w:tcBorders>
                  <w:noWrap w:val="0"/>
                  <w:vAlign w:val="center"/>
                </w:tcPr>
                <w:p w14:paraId="7AC10B29">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2</w:t>
                  </w:r>
                </w:p>
              </w:tc>
              <w:tc>
                <w:tcPr>
                  <w:tcW w:w="456" w:type="pct"/>
                  <w:tcBorders>
                    <w:tl2br w:val="nil"/>
                    <w:tr2bl w:val="nil"/>
                  </w:tcBorders>
                  <w:noWrap w:val="0"/>
                  <w:vAlign w:val="center"/>
                </w:tcPr>
                <w:p w14:paraId="268A218B">
                  <w:pPr>
                    <w:widowControl w:val="0"/>
                    <w:adjustRightInd w:val="0"/>
                    <w:snapToGrid w:val="0"/>
                    <w:spacing w:after="0" w:afterLines="-2147483648" w:line="240" w:lineRule="auto"/>
                    <w:ind w:firstLine="0" w:firstLineChars="0"/>
                    <w:jc w:val="center"/>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废气</w:t>
                  </w:r>
                </w:p>
              </w:tc>
              <w:tc>
                <w:tcPr>
                  <w:tcW w:w="575" w:type="pct"/>
                  <w:tcBorders>
                    <w:tl2br w:val="nil"/>
                    <w:tr2bl w:val="nil"/>
                  </w:tcBorders>
                  <w:noWrap w:val="0"/>
                  <w:vAlign w:val="center"/>
                </w:tcPr>
                <w:p w14:paraId="78089551">
                  <w:pPr>
                    <w:widowControl w:val="0"/>
                    <w:adjustRightInd w:val="0"/>
                    <w:snapToGrid w:val="0"/>
                    <w:spacing w:after="0" w:afterLines="-2147483648" w:line="240" w:lineRule="auto"/>
                    <w:ind w:firstLine="0" w:firstLineChars="0"/>
                    <w:jc w:val="center"/>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4"/>
                      <w:lang w:val="en-US" w:eastAsia="zh-CN"/>
                    </w:rPr>
                    <w:t>配胶、涂布、印刷、烘干及固化废气</w:t>
                  </w:r>
                </w:p>
              </w:tc>
              <w:tc>
                <w:tcPr>
                  <w:tcW w:w="941" w:type="pct"/>
                  <w:tcBorders>
                    <w:tl2br w:val="nil"/>
                    <w:tr2bl w:val="nil"/>
                  </w:tcBorders>
                  <w:noWrap w:val="0"/>
                  <w:vAlign w:val="center"/>
                </w:tcPr>
                <w:p w14:paraId="66758375">
                  <w:pPr>
                    <w:widowControl w:val="0"/>
                    <w:adjustRightInd w:val="0"/>
                    <w:snapToGrid w:val="0"/>
                    <w:spacing w:after="0" w:afterLines="-2147483648"/>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rPr>
                    <w:t>非甲烷总烃</w:t>
                  </w:r>
                  <w:r>
                    <w:rPr>
                      <w:rFonts w:hint="eastAsia" w:ascii="Times New Roman" w:hAnsi="Times New Roman" w:eastAsia="宋体" w:cs="Times New Roman"/>
                      <w:color w:val="auto"/>
                      <w:kern w:val="2"/>
                      <w:sz w:val="21"/>
                      <w:szCs w:val="21"/>
                      <w:lang w:eastAsia="zh-CN"/>
                    </w:rPr>
                    <w:t>、</w:t>
                  </w:r>
                  <w:r>
                    <w:rPr>
                      <w:rFonts w:hint="eastAsia" w:ascii="Times New Roman" w:hAnsi="Times New Roman" w:eastAsia="宋体" w:cs="Times New Roman"/>
                      <w:color w:val="auto"/>
                      <w:kern w:val="2"/>
                      <w:sz w:val="21"/>
                      <w:szCs w:val="21"/>
                      <w:lang w:val="en-US" w:eastAsia="zh-CN"/>
                    </w:rPr>
                    <w:t>甲醇</w:t>
                  </w:r>
                </w:p>
              </w:tc>
              <w:tc>
                <w:tcPr>
                  <w:tcW w:w="1623" w:type="pct"/>
                  <w:tcBorders>
                    <w:tl2br w:val="nil"/>
                    <w:tr2bl w:val="nil"/>
                  </w:tcBorders>
                  <w:noWrap w:val="0"/>
                  <w:vAlign w:val="center"/>
                </w:tcPr>
                <w:p w14:paraId="279F9C5A">
                  <w:pPr>
                    <w:widowControl w:val="0"/>
                    <w:adjustRightInd w:val="0"/>
                    <w:snapToGrid w:val="0"/>
                    <w:spacing w:after="0" w:afterLines="-2147483648"/>
                    <w:jc w:val="center"/>
                    <w:rPr>
                      <w:rFonts w:hint="eastAsia"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4"/>
                      <w:lang w:val="en-US" w:eastAsia="zh-CN"/>
                    </w:rPr>
                    <w:t>配胶室、</w:t>
                  </w:r>
                  <w:r>
                    <w:rPr>
                      <w:rFonts w:hint="eastAsia" w:ascii="Times New Roman" w:hAnsi="Times New Roman" w:eastAsia="宋体" w:cs="Times New Roman"/>
                      <w:color w:val="auto"/>
                      <w:kern w:val="2"/>
                      <w:sz w:val="21"/>
                      <w:szCs w:val="21"/>
                      <w:lang w:eastAsia="zh-CN"/>
                    </w:rPr>
                    <w:t>烘房、危废间</w:t>
                  </w:r>
                  <w:r>
                    <w:rPr>
                      <w:rFonts w:hint="eastAsia" w:ascii="Times New Roman" w:hAnsi="Times New Roman" w:eastAsia="宋体" w:cs="Times New Roman"/>
                      <w:color w:val="auto"/>
                      <w:kern w:val="2"/>
                      <w:sz w:val="21"/>
                      <w:szCs w:val="21"/>
                      <w:lang w:val="en-US" w:eastAsia="zh-CN"/>
                    </w:rPr>
                    <w:t>废气采用负压收集，</w:t>
                  </w:r>
                  <w:r>
                    <w:rPr>
                      <w:rFonts w:hint="eastAsia" w:ascii="Times New Roman" w:hAnsi="Times New Roman" w:eastAsia="宋体" w:cs="Times New Roman"/>
                      <w:color w:val="auto"/>
                      <w:kern w:val="2"/>
                      <w:sz w:val="21"/>
                      <w:szCs w:val="24"/>
                      <w:lang w:val="en-US" w:eastAsia="zh-CN"/>
                    </w:rPr>
                    <w:t>涂布、烘干及印刷生产线产生废气经集气罩收集</w:t>
                  </w:r>
                  <w:r>
                    <w:rPr>
                      <w:rFonts w:hint="eastAsia" w:ascii="Times New Roman" w:hAnsi="Times New Roman" w:eastAsia="宋体" w:cs="Times New Roman"/>
                      <w:color w:val="auto"/>
                      <w:kern w:val="2"/>
                      <w:sz w:val="21"/>
                      <w:szCs w:val="21"/>
                      <w:lang w:val="en-US" w:eastAsia="zh-CN"/>
                    </w:rPr>
                    <w:t>，废气经集气总管进入1套“气动旋流净化塔+干式过滤箱+活性炭吸附浓缩+催化燃烧装置”</w:t>
                  </w:r>
                  <w:r>
                    <w:rPr>
                      <w:rFonts w:hint="eastAsia" w:ascii="宋体" w:hAnsi="宋体" w:eastAsia="宋体" w:cs="宋体"/>
                      <w:color w:val="auto"/>
                      <w:kern w:val="0"/>
                      <w:sz w:val="21"/>
                      <w:szCs w:val="21"/>
                      <w:lang w:val="en-US" w:eastAsia="zh-CN" w:bidi="ar"/>
                    </w:rPr>
                    <w:t>处理后</w:t>
                  </w:r>
                  <w:r>
                    <w:rPr>
                      <w:rFonts w:hint="eastAsia" w:ascii="Times New Roman" w:hAnsi="Times New Roman" w:eastAsia="宋体" w:cs="Times New Roman"/>
                      <w:color w:val="auto"/>
                      <w:kern w:val="2"/>
                      <w:sz w:val="21"/>
                      <w:szCs w:val="21"/>
                      <w:lang w:val="en-US" w:eastAsia="zh-CN"/>
                    </w:rPr>
                    <w:t>通过1根15m高排气筒排放</w:t>
                  </w:r>
                </w:p>
              </w:tc>
              <w:tc>
                <w:tcPr>
                  <w:tcW w:w="534" w:type="pct"/>
                  <w:tcBorders>
                    <w:tl2br w:val="nil"/>
                    <w:tr2bl w:val="nil"/>
                  </w:tcBorders>
                  <w:noWrap w:val="0"/>
                  <w:vAlign w:val="center"/>
                </w:tcPr>
                <w:p w14:paraId="31AFF8A4">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50</w:t>
                  </w:r>
                </w:p>
              </w:tc>
              <w:tc>
                <w:tcPr>
                  <w:tcW w:w="534" w:type="pct"/>
                  <w:tcBorders>
                    <w:tl2br w:val="nil"/>
                    <w:tr2bl w:val="nil"/>
                  </w:tcBorders>
                  <w:noWrap w:val="0"/>
                  <w:vAlign w:val="center"/>
                </w:tcPr>
                <w:p w14:paraId="37319AD5">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38</w:t>
                  </w:r>
                </w:p>
              </w:tc>
            </w:tr>
            <w:tr w14:paraId="18EBCA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4" w:type="pct"/>
                  <w:tcBorders>
                    <w:tl2br w:val="nil"/>
                    <w:tr2bl w:val="nil"/>
                  </w:tcBorders>
                  <w:noWrap w:val="0"/>
                  <w:vAlign w:val="center"/>
                </w:tcPr>
                <w:p w14:paraId="76B9FC53">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3</w:t>
                  </w:r>
                </w:p>
              </w:tc>
              <w:tc>
                <w:tcPr>
                  <w:tcW w:w="456" w:type="pct"/>
                  <w:vMerge w:val="restart"/>
                  <w:tcBorders>
                    <w:tl2br w:val="nil"/>
                    <w:tr2bl w:val="nil"/>
                  </w:tcBorders>
                  <w:noWrap w:val="0"/>
                  <w:vAlign w:val="center"/>
                </w:tcPr>
                <w:p w14:paraId="462FB002">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分区防渗</w:t>
                  </w:r>
                </w:p>
              </w:tc>
              <w:tc>
                <w:tcPr>
                  <w:tcW w:w="575" w:type="pct"/>
                  <w:tcBorders>
                    <w:tl2br w:val="nil"/>
                    <w:tr2bl w:val="nil"/>
                  </w:tcBorders>
                  <w:noWrap w:val="0"/>
                  <w:vAlign w:val="center"/>
                </w:tcPr>
                <w:p w14:paraId="6378A2CA">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重点防渗区</w:t>
                  </w:r>
                </w:p>
              </w:tc>
              <w:tc>
                <w:tcPr>
                  <w:tcW w:w="2565" w:type="pct"/>
                  <w:gridSpan w:val="2"/>
                  <w:tcBorders>
                    <w:tl2br w:val="nil"/>
                    <w:tr2bl w:val="nil"/>
                  </w:tcBorders>
                  <w:noWrap w:val="0"/>
                  <w:vAlign w:val="center"/>
                </w:tcPr>
                <w:p w14:paraId="6FD6238F">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rPr>
                    <w:t>危化学品库、</w:t>
                  </w:r>
                  <w:r>
                    <w:rPr>
                      <w:rFonts w:hint="default" w:ascii="Times New Roman" w:hAnsi="Times New Roman" w:eastAsia="宋体" w:cs="Times New Roman"/>
                      <w:color w:val="auto"/>
                      <w:kern w:val="2"/>
                      <w:sz w:val="21"/>
                      <w:szCs w:val="21"/>
                      <w:lang w:val="en-US" w:eastAsia="zh-CN"/>
                    </w:rPr>
                    <w:t>危废暂存间</w:t>
                  </w:r>
                  <w:r>
                    <w:rPr>
                      <w:rFonts w:hint="default" w:ascii="Times New Roman" w:hAnsi="Times New Roman" w:eastAsia="宋体" w:cs="Times New Roman"/>
                      <w:color w:val="auto"/>
                      <w:kern w:val="2"/>
                      <w:sz w:val="21"/>
                      <w:szCs w:val="21"/>
                    </w:rPr>
                    <w:t>重点防渗，各单元等效黏土防渗层Mb≥6.0m，防渗层渗透系数K≤1×10</w:t>
                  </w:r>
                  <w:r>
                    <w:rPr>
                      <w:rFonts w:hint="default" w:ascii="Times New Roman" w:hAnsi="Times New Roman" w:eastAsia="宋体" w:cs="Times New Roman"/>
                      <w:color w:val="auto"/>
                      <w:kern w:val="2"/>
                      <w:sz w:val="21"/>
                      <w:szCs w:val="21"/>
                      <w:vertAlign w:val="superscript"/>
                    </w:rPr>
                    <w:t>-</w:t>
                  </w:r>
                  <w:r>
                    <w:rPr>
                      <w:rFonts w:hint="eastAsia" w:ascii="Times New Roman" w:hAnsi="Times New Roman" w:eastAsia="宋体" w:cs="Times New Roman"/>
                      <w:color w:val="auto"/>
                      <w:kern w:val="2"/>
                      <w:sz w:val="21"/>
                      <w:szCs w:val="21"/>
                      <w:vertAlign w:val="superscript"/>
                      <w:lang w:val="en-US" w:eastAsia="zh-CN"/>
                    </w:rPr>
                    <w:t>12</w:t>
                  </w:r>
                  <w:r>
                    <w:rPr>
                      <w:rFonts w:hint="default" w:ascii="Times New Roman" w:hAnsi="Times New Roman" w:eastAsia="宋体" w:cs="Times New Roman"/>
                      <w:color w:val="auto"/>
                      <w:kern w:val="2"/>
                      <w:sz w:val="21"/>
                      <w:szCs w:val="21"/>
                    </w:rPr>
                    <w:t>cm/s</w:t>
                  </w:r>
                </w:p>
              </w:tc>
              <w:tc>
                <w:tcPr>
                  <w:tcW w:w="534" w:type="pct"/>
                  <w:tcBorders>
                    <w:tl2br w:val="nil"/>
                    <w:tr2bl w:val="nil"/>
                  </w:tcBorders>
                  <w:noWrap w:val="0"/>
                  <w:vAlign w:val="center"/>
                </w:tcPr>
                <w:p w14:paraId="345F9793">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5</w:t>
                  </w:r>
                </w:p>
              </w:tc>
              <w:tc>
                <w:tcPr>
                  <w:tcW w:w="534" w:type="pct"/>
                  <w:tcBorders>
                    <w:tl2br w:val="nil"/>
                    <w:tr2bl w:val="nil"/>
                  </w:tcBorders>
                  <w:noWrap w:val="0"/>
                  <w:vAlign w:val="center"/>
                </w:tcPr>
                <w:p w14:paraId="1EA71889">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3</w:t>
                  </w:r>
                </w:p>
              </w:tc>
            </w:tr>
            <w:tr w14:paraId="22657C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4" w:type="pct"/>
                  <w:tcBorders>
                    <w:tl2br w:val="nil"/>
                    <w:tr2bl w:val="nil"/>
                  </w:tcBorders>
                  <w:noWrap w:val="0"/>
                  <w:vAlign w:val="center"/>
                </w:tcPr>
                <w:p w14:paraId="172F6F45">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4</w:t>
                  </w:r>
                </w:p>
              </w:tc>
              <w:tc>
                <w:tcPr>
                  <w:tcW w:w="456" w:type="pct"/>
                  <w:vMerge w:val="continue"/>
                  <w:tcBorders>
                    <w:tl2br w:val="nil"/>
                    <w:tr2bl w:val="nil"/>
                  </w:tcBorders>
                  <w:noWrap w:val="0"/>
                  <w:vAlign w:val="center"/>
                </w:tcPr>
                <w:p w14:paraId="6EA05E75">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p>
              </w:tc>
              <w:tc>
                <w:tcPr>
                  <w:tcW w:w="575" w:type="pct"/>
                  <w:tcBorders>
                    <w:tl2br w:val="nil"/>
                    <w:tr2bl w:val="nil"/>
                  </w:tcBorders>
                  <w:noWrap w:val="0"/>
                  <w:vAlign w:val="center"/>
                </w:tcPr>
                <w:p w14:paraId="675F2B8F">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一般防渗区</w:t>
                  </w:r>
                </w:p>
              </w:tc>
              <w:tc>
                <w:tcPr>
                  <w:tcW w:w="2565" w:type="pct"/>
                  <w:gridSpan w:val="2"/>
                  <w:tcBorders>
                    <w:tl2br w:val="nil"/>
                    <w:tr2bl w:val="nil"/>
                  </w:tcBorders>
                  <w:noWrap w:val="0"/>
                  <w:vAlign w:val="center"/>
                </w:tcPr>
                <w:p w14:paraId="54D1BA51">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lang w:val="en-US" w:eastAsia="zh-CN"/>
                    </w:rPr>
                    <w:t>办公室、生产车间等</w:t>
                  </w:r>
                  <w:r>
                    <w:rPr>
                      <w:rFonts w:hint="default" w:ascii="Times New Roman" w:hAnsi="Times New Roman" w:eastAsia="宋体" w:cs="Times New Roman"/>
                      <w:color w:val="auto"/>
                      <w:kern w:val="2"/>
                      <w:sz w:val="21"/>
                      <w:szCs w:val="21"/>
                    </w:rPr>
                    <w:t>要求等效粘土防渗层Mb≥1.5m，渗透系数K≤10</w:t>
                  </w:r>
                  <w:r>
                    <w:rPr>
                      <w:rFonts w:hint="default" w:ascii="Times New Roman" w:hAnsi="Times New Roman" w:eastAsia="宋体" w:cs="Times New Roman"/>
                      <w:color w:val="auto"/>
                      <w:kern w:val="2"/>
                      <w:sz w:val="21"/>
                      <w:szCs w:val="21"/>
                      <w:vertAlign w:val="superscript"/>
                    </w:rPr>
                    <w:t>-7</w:t>
                  </w:r>
                  <w:r>
                    <w:rPr>
                      <w:rFonts w:hint="default" w:ascii="Times New Roman" w:hAnsi="Times New Roman" w:eastAsia="宋体" w:cs="Times New Roman"/>
                      <w:color w:val="auto"/>
                      <w:kern w:val="2"/>
                      <w:sz w:val="21"/>
                      <w:szCs w:val="21"/>
                    </w:rPr>
                    <w:t>cm/s</w:t>
                  </w:r>
                </w:p>
              </w:tc>
              <w:tc>
                <w:tcPr>
                  <w:tcW w:w="534" w:type="pct"/>
                  <w:tcBorders>
                    <w:tl2br w:val="nil"/>
                    <w:tr2bl w:val="nil"/>
                  </w:tcBorders>
                  <w:noWrap w:val="0"/>
                  <w:vAlign w:val="center"/>
                </w:tcPr>
                <w:p w14:paraId="33998B95">
                  <w:pPr>
                    <w:widowControl w:val="0"/>
                    <w:adjustRightInd w:val="0"/>
                    <w:snapToGrid w:val="0"/>
                    <w:spacing w:after="0" w:afterLines="-2147483648" w:line="240" w:lineRule="auto"/>
                    <w:ind w:firstLine="0" w:firstLineChars="0"/>
                    <w:jc w:val="center"/>
                    <w:rPr>
                      <w:rFonts w:hint="eastAsia" w:ascii="Times New Roman" w:hAnsi="Times New Roman" w:eastAsia="宋体" w:cs="Times New Roman"/>
                      <w:color w:val="auto"/>
                      <w:kern w:val="2"/>
                      <w:sz w:val="21"/>
                      <w:szCs w:val="21"/>
                      <w:lang w:eastAsia="zh-CN"/>
                    </w:rPr>
                  </w:pPr>
                  <w:r>
                    <w:rPr>
                      <w:rFonts w:hint="eastAsia" w:ascii="Times New Roman" w:hAnsi="Times New Roman" w:eastAsia="宋体" w:cs="Times New Roman"/>
                      <w:color w:val="auto"/>
                      <w:kern w:val="2"/>
                      <w:sz w:val="21"/>
                      <w:szCs w:val="21"/>
                      <w:lang w:val="en-US" w:eastAsia="zh-CN"/>
                    </w:rPr>
                    <w:t>2</w:t>
                  </w:r>
                </w:p>
              </w:tc>
              <w:tc>
                <w:tcPr>
                  <w:tcW w:w="534" w:type="pct"/>
                  <w:tcBorders>
                    <w:tl2br w:val="nil"/>
                    <w:tr2bl w:val="nil"/>
                  </w:tcBorders>
                  <w:noWrap w:val="0"/>
                  <w:vAlign w:val="center"/>
                </w:tcPr>
                <w:p w14:paraId="1ECAA394">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2</w:t>
                  </w:r>
                </w:p>
              </w:tc>
            </w:tr>
            <w:tr w14:paraId="7FC1FC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4" w:type="pct"/>
                  <w:tcBorders>
                    <w:tl2br w:val="nil"/>
                    <w:tr2bl w:val="nil"/>
                  </w:tcBorders>
                  <w:noWrap w:val="0"/>
                  <w:vAlign w:val="center"/>
                </w:tcPr>
                <w:p w14:paraId="32D06661">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5</w:t>
                  </w:r>
                </w:p>
              </w:tc>
              <w:tc>
                <w:tcPr>
                  <w:tcW w:w="456" w:type="pct"/>
                  <w:vMerge w:val="restart"/>
                  <w:tcBorders>
                    <w:tl2br w:val="nil"/>
                    <w:tr2bl w:val="nil"/>
                  </w:tcBorders>
                  <w:noWrap w:val="0"/>
                  <w:vAlign w:val="center"/>
                </w:tcPr>
                <w:p w14:paraId="583A4290">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固废</w:t>
                  </w:r>
                </w:p>
              </w:tc>
              <w:tc>
                <w:tcPr>
                  <w:tcW w:w="575" w:type="pct"/>
                  <w:tcBorders>
                    <w:tl2br w:val="nil"/>
                    <w:tr2bl w:val="nil"/>
                  </w:tcBorders>
                  <w:noWrap w:val="0"/>
                  <w:vAlign w:val="center"/>
                </w:tcPr>
                <w:p w14:paraId="30FAF8D2">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生活垃圾</w:t>
                  </w:r>
                </w:p>
              </w:tc>
              <w:tc>
                <w:tcPr>
                  <w:tcW w:w="2565" w:type="pct"/>
                  <w:gridSpan w:val="2"/>
                  <w:tcBorders>
                    <w:tl2br w:val="nil"/>
                    <w:tr2bl w:val="nil"/>
                  </w:tcBorders>
                  <w:noWrap w:val="0"/>
                  <w:vAlign w:val="center"/>
                </w:tcPr>
                <w:p w14:paraId="560F81E6">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垃圾收集桶</w:t>
                  </w:r>
                </w:p>
              </w:tc>
              <w:tc>
                <w:tcPr>
                  <w:tcW w:w="534" w:type="pct"/>
                  <w:tcBorders>
                    <w:tl2br w:val="nil"/>
                    <w:tr2bl w:val="nil"/>
                  </w:tcBorders>
                  <w:noWrap w:val="0"/>
                  <w:vAlign w:val="center"/>
                </w:tcPr>
                <w:p w14:paraId="2AF6CFE1">
                  <w:pPr>
                    <w:widowControl w:val="0"/>
                    <w:adjustRightInd w:val="0"/>
                    <w:snapToGrid w:val="0"/>
                    <w:spacing w:after="0" w:afterLines="-2147483648" w:line="240" w:lineRule="auto"/>
                    <w:ind w:firstLine="0" w:firstLineChars="0"/>
                    <w:jc w:val="center"/>
                    <w:rPr>
                      <w:rFonts w:hint="eastAsia" w:ascii="Times New Roman" w:hAnsi="Times New Roman" w:eastAsia="宋体" w:cs="Times New Roman"/>
                      <w:color w:val="auto"/>
                      <w:kern w:val="2"/>
                      <w:sz w:val="21"/>
                      <w:szCs w:val="21"/>
                      <w:lang w:eastAsia="zh-CN"/>
                    </w:rPr>
                  </w:pPr>
                  <w:r>
                    <w:rPr>
                      <w:rFonts w:hint="eastAsia" w:ascii="Times New Roman" w:hAnsi="Times New Roman" w:eastAsia="宋体" w:cs="Times New Roman"/>
                      <w:color w:val="auto"/>
                      <w:kern w:val="2"/>
                      <w:sz w:val="21"/>
                      <w:szCs w:val="21"/>
                      <w:lang w:val="en-US" w:eastAsia="zh-CN"/>
                    </w:rPr>
                    <w:t>2</w:t>
                  </w:r>
                </w:p>
              </w:tc>
              <w:tc>
                <w:tcPr>
                  <w:tcW w:w="534" w:type="pct"/>
                  <w:tcBorders>
                    <w:tl2br w:val="nil"/>
                    <w:tr2bl w:val="nil"/>
                  </w:tcBorders>
                  <w:noWrap w:val="0"/>
                  <w:vAlign w:val="center"/>
                </w:tcPr>
                <w:p w14:paraId="5CA7F338">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0</w:t>
                  </w:r>
                </w:p>
              </w:tc>
            </w:tr>
            <w:tr w14:paraId="621AA8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4" w:type="pct"/>
                  <w:tcBorders>
                    <w:tl2br w:val="nil"/>
                    <w:tr2bl w:val="nil"/>
                  </w:tcBorders>
                  <w:noWrap w:val="0"/>
                  <w:vAlign w:val="center"/>
                </w:tcPr>
                <w:p w14:paraId="1CD4040C">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6</w:t>
                  </w:r>
                </w:p>
              </w:tc>
              <w:tc>
                <w:tcPr>
                  <w:tcW w:w="456" w:type="pct"/>
                  <w:vMerge w:val="continue"/>
                  <w:tcBorders>
                    <w:tl2br w:val="nil"/>
                    <w:tr2bl w:val="nil"/>
                  </w:tcBorders>
                  <w:noWrap w:val="0"/>
                  <w:vAlign w:val="center"/>
                </w:tcPr>
                <w:p w14:paraId="4626F690">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p>
              </w:tc>
              <w:tc>
                <w:tcPr>
                  <w:tcW w:w="575" w:type="pct"/>
                  <w:tcBorders>
                    <w:tl2br w:val="nil"/>
                    <w:tr2bl w:val="nil"/>
                  </w:tcBorders>
                  <w:noWrap w:val="0"/>
                  <w:vAlign w:val="center"/>
                </w:tcPr>
                <w:p w14:paraId="4E2EF2A5">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一般</w:t>
                  </w:r>
                  <w:r>
                    <w:rPr>
                      <w:rFonts w:hint="eastAsia" w:ascii="Times New Roman" w:hAnsi="Times New Roman" w:eastAsia="宋体" w:cs="Times New Roman"/>
                      <w:color w:val="auto"/>
                      <w:kern w:val="2"/>
                      <w:sz w:val="21"/>
                      <w:szCs w:val="21"/>
                      <w:lang w:val="en-US" w:eastAsia="zh-CN"/>
                    </w:rPr>
                    <w:t>工业</w:t>
                  </w:r>
                  <w:r>
                    <w:rPr>
                      <w:rFonts w:hint="default" w:ascii="Times New Roman" w:hAnsi="Times New Roman" w:eastAsia="宋体" w:cs="Times New Roman"/>
                      <w:color w:val="auto"/>
                      <w:kern w:val="2"/>
                      <w:sz w:val="21"/>
                      <w:szCs w:val="21"/>
                      <w:lang w:val="en-US" w:eastAsia="zh-CN"/>
                    </w:rPr>
                    <w:t>固废</w:t>
                  </w:r>
                </w:p>
              </w:tc>
              <w:tc>
                <w:tcPr>
                  <w:tcW w:w="2565" w:type="pct"/>
                  <w:gridSpan w:val="2"/>
                  <w:tcBorders>
                    <w:tl2br w:val="nil"/>
                    <w:tr2bl w:val="nil"/>
                  </w:tcBorders>
                  <w:noWrap w:val="0"/>
                  <w:vAlign w:val="center"/>
                </w:tcPr>
                <w:p w14:paraId="0385915C">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设置一般固废堆场</w:t>
                  </w:r>
                </w:p>
              </w:tc>
              <w:tc>
                <w:tcPr>
                  <w:tcW w:w="534" w:type="pct"/>
                  <w:tcBorders>
                    <w:tl2br w:val="nil"/>
                    <w:tr2bl w:val="nil"/>
                  </w:tcBorders>
                  <w:noWrap w:val="0"/>
                  <w:vAlign w:val="center"/>
                </w:tcPr>
                <w:p w14:paraId="5E858854">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5</w:t>
                  </w:r>
                </w:p>
              </w:tc>
              <w:tc>
                <w:tcPr>
                  <w:tcW w:w="534" w:type="pct"/>
                  <w:tcBorders>
                    <w:tl2br w:val="nil"/>
                    <w:tr2bl w:val="nil"/>
                  </w:tcBorders>
                  <w:noWrap w:val="0"/>
                  <w:vAlign w:val="center"/>
                </w:tcPr>
                <w:p w14:paraId="2B034586">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2</w:t>
                  </w:r>
                </w:p>
              </w:tc>
            </w:tr>
            <w:tr w14:paraId="1A91CD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4" w:type="pct"/>
                  <w:tcBorders>
                    <w:tl2br w:val="nil"/>
                    <w:tr2bl w:val="nil"/>
                  </w:tcBorders>
                  <w:noWrap w:val="0"/>
                  <w:vAlign w:val="center"/>
                </w:tcPr>
                <w:p w14:paraId="42D02ED0">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7</w:t>
                  </w:r>
                </w:p>
              </w:tc>
              <w:tc>
                <w:tcPr>
                  <w:tcW w:w="456" w:type="pct"/>
                  <w:vMerge w:val="continue"/>
                  <w:tcBorders>
                    <w:tl2br w:val="nil"/>
                    <w:tr2bl w:val="nil"/>
                  </w:tcBorders>
                  <w:noWrap w:val="0"/>
                  <w:vAlign w:val="center"/>
                </w:tcPr>
                <w:p w14:paraId="67B0D036">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p>
              </w:tc>
              <w:tc>
                <w:tcPr>
                  <w:tcW w:w="575" w:type="pct"/>
                  <w:tcBorders>
                    <w:tl2br w:val="nil"/>
                    <w:tr2bl w:val="nil"/>
                  </w:tcBorders>
                  <w:noWrap w:val="0"/>
                  <w:vAlign w:val="center"/>
                </w:tcPr>
                <w:p w14:paraId="1739EDC9">
                  <w:pPr>
                    <w:widowControl w:val="0"/>
                    <w:adjustRightInd w:val="0"/>
                    <w:snapToGrid w:val="0"/>
                    <w:spacing w:after="0" w:afterLines="-2147483648" w:line="240" w:lineRule="auto"/>
                    <w:ind w:firstLine="0" w:firstLineChars="0"/>
                    <w:jc w:val="center"/>
                    <w:rPr>
                      <w:rFonts w:hint="eastAsia"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rPr>
                    <w:t>危险</w:t>
                  </w:r>
                  <w:r>
                    <w:rPr>
                      <w:rFonts w:hint="eastAsia" w:ascii="Times New Roman" w:hAnsi="Times New Roman" w:eastAsia="宋体" w:cs="Times New Roman"/>
                      <w:color w:val="auto"/>
                      <w:kern w:val="2"/>
                      <w:sz w:val="21"/>
                      <w:szCs w:val="21"/>
                      <w:lang w:val="en-US" w:eastAsia="zh-CN"/>
                    </w:rPr>
                    <w:t>废物</w:t>
                  </w:r>
                </w:p>
              </w:tc>
              <w:tc>
                <w:tcPr>
                  <w:tcW w:w="2565" w:type="pct"/>
                  <w:gridSpan w:val="2"/>
                  <w:tcBorders>
                    <w:tl2br w:val="nil"/>
                    <w:tr2bl w:val="nil"/>
                  </w:tcBorders>
                  <w:noWrap w:val="0"/>
                  <w:vAlign w:val="center"/>
                </w:tcPr>
                <w:p w14:paraId="5B3A0FFB">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危废暂存间</w:t>
                  </w:r>
                  <w:r>
                    <w:rPr>
                      <w:rFonts w:hint="default" w:ascii="Times New Roman" w:hAnsi="Times New Roman" w:eastAsia="宋体" w:cs="Times New Roman"/>
                      <w:color w:val="auto"/>
                      <w:kern w:val="2"/>
                      <w:sz w:val="21"/>
                      <w:szCs w:val="21"/>
                    </w:rPr>
                    <w:t>，重点防渗</w:t>
                  </w:r>
                </w:p>
              </w:tc>
              <w:tc>
                <w:tcPr>
                  <w:tcW w:w="534" w:type="pct"/>
                  <w:tcBorders>
                    <w:tl2br w:val="nil"/>
                    <w:tr2bl w:val="nil"/>
                  </w:tcBorders>
                  <w:noWrap w:val="0"/>
                  <w:vAlign w:val="center"/>
                </w:tcPr>
                <w:p w14:paraId="716ED650">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5</w:t>
                  </w:r>
                </w:p>
              </w:tc>
              <w:tc>
                <w:tcPr>
                  <w:tcW w:w="534" w:type="pct"/>
                  <w:tcBorders>
                    <w:tl2br w:val="nil"/>
                    <w:tr2bl w:val="nil"/>
                  </w:tcBorders>
                  <w:noWrap w:val="0"/>
                  <w:vAlign w:val="center"/>
                </w:tcPr>
                <w:p w14:paraId="02A36F53">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3</w:t>
                  </w:r>
                </w:p>
              </w:tc>
            </w:tr>
            <w:tr w14:paraId="638329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4" w:type="pct"/>
                  <w:tcBorders>
                    <w:tl2br w:val="nil"/>
                    <w:tr2bl w:val="nil"/>
                  </w:tcBorders>
                  <w:noWrap w:val="0"/>
                  <w:vAlign w:val="center"/>
                </w:tcPr>
                <w:p w14:paraId="46FED46B">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8</w:t>
                  </w:r>
                </w:p>
              </w:tc>
              <w:tc>
                <w:tcPr>
                  <w:tcW w:w="456" w:type="pct"/>
                  <w:tcBorders>
                    <w:tl2br w:val="nil"/>
                    <w:tr2bl w:val="nil"/>
                  </w:tcBorders>
                  <w:noWrap w:val="0"/>
                  <w:vAlign w:val="center"/>
                </w:tcPr>
                <w:p w14:paraId="0560C5AA">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噪声</w:t>
                  </w:r>
                </w:p>
              </w:tc>
              <w:tc>
                <w:tcPr>
                  <w:tcW w:w="3140" w:type="pct"/>
                  <w:gridSpan w:val="3"/>
                  <w:tcBorders>
                    <w:tl2br w:val="nil"/>
                    <w:tr2bl w:val="nil"/>
                  </w:tcBorders>
                  <w:noWrap w:val="0"/>
                  <w:vAlign w:val="center"/>
                </w:tcPr>
                <w:p w14:paraId="5896A18B">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合理车间布局，选用低噪声设备、设置减振垫、厂房隔声等</w:t>
                  </w:r>
                </w:p>
              </w:tc>
              <w:tc>
                <w:tcPr>
                  <w:tcW w:w="534" w:type="pct"/>
                  <w:tcBorders>
                    <w:tl2br w:val="nil"/>
                    <w:tr2bl w:val="nil"/>
                  </w:tcBorders>
                  <w:noWrap w:val="0"/>
                  <w:vAlign w:val="center"/>
                </w:tcPr>
                <w:p w14:paraId="087653A6">
                  <w:pPr>
                    <w:widowControl w:val="0"/>
                    <w:adjustRightInd w:val="0"/>
                    <w:snapToGrid w:val="0"/>
                    <w:spacing w:after="0" w:afterLines="-2147483648" w:line="240" w:lineRule="auto"/>
                    <w:ind w:firstLine="0" w:firstLineChars="0"/>
                    <w:jc w:val="center"/>
                    <w:rPr>
                      <w:rFonts w:hint="eastAsia" w:ascii="Times New Roman" w:hAnsi="Times New Roman" w:eastAsia="宋体" w:cs="Times New Roman"/>
                      <w:color w:val="auto"/>
                      <w:kern w:val="2"/>
                      <w:sz w:val="21"/>
                      <w:szCs w:val="21"/>
                      <w:lang w:eastAsia="zh-CN"/>
                    </w:rPr>
                  </w:pPr>
                  <w:r>
                    <w:rPr>
                      <w:rFonts w:hint="eastAsia" w:ascii="Times New Roman" w:hAnsi="Times New Roman" w:eastAsia="宋体" w:cs="Times New Roman"/>
                      <w:color w:val="auto"/>
                      <w:kern w:val="2"/>
                      <w:sz w:val="21"/>
                      <w:szCs w:val="21"/>
                      <w:lang w:val="en-US" w:eastAsia="zh-CN"/>
                    </w:rPr>
                    <w:t>3</w:t>
                  </w:r>
                </w:p>
              </w:tc>
              <w:tc>
                <w:tcPr>
                  <w:tcW w:w="534" w:type="pct"/>
                  <w:tcBorders>
                    <w:tl2br w:val="nil"/>
                    <w:tr2bl w:val="nil"/>
                  </w:tcBorders>
                  <w:noWrap w:val="0"/>
                  <w:vAlign w:val="center"/>
                </w:tcPr>
                <w:p w14:paraId="5DE85F67">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2</w:t>
                  </w:r>
                </w:p>
              </w:tc>
            </w:tr>
            <w:tr w14:paraId="14105C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34" w:type="pct"/>
                  <w:tcBorders>
                    <w:tl2br w:val="nil"/>
                    <w:tr2bl w:val="nil"/>
                  </w:tcBorders>
                  <w:noWrap w:val="0"/>
                  <w:vAlign w:val="center"/>
                </w:tcPr>
                <w:p w14:paraId="0DB9CC51">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9</w:t>
                  </w:r>
                </w:p>
              </w:tc>
              <w:tc>
                <w:tcPr>
                  <w:tcW w:w="456" w:type="pct"/>
                  <w:tcBorders>
                    <w:tl2br w:val="nil"/>
                    <w:tr2bl w:val="nil"/>
                  </w:tcBorders>
                  <w:noWrap w:val="0"/>
                  <w:vAlign w:val="center"/>
                </w:tcPr>
                <w:p w14:paraId="6039C704">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风险</w:t>
                  </w:r>
                </w:p>
              </w:tc>
              <w:tc>
                <w:tcPr>
                  <w:tcW w:w="3140" w:type="pct"/>
                  <w:gridSpan w:val="3"/>
                  <w:tcBorders>
                    <w:tl2br w:val="nil"/>
                    <w:tr2bl w:val="nil"/>
                  </w:tcBorders>
                  <w:noWrap w:val="0"/>
                  <w:vAlign w:val="center"/>
                </w:tcPr>
                <w:p w14:paraId="4E416B6E">
                  <w:pPr>
                    <w:widowControl w:val="0"/>
                    <w:adjustRightInd w:val="0"/>
                    <w:snapToGrid w:val="0"/>
                    <w:spacing w:after="0" w:afterLines="-2147483648" w:line="240" w:lineRule="auto"/>
                    <w:ind w:firstLine="0" w:firstLineChars="0"/>
                    <w:jc w:val="center"/>
                    <w:rPr>
                      <w:rFonts w:hint="eastAsia"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rPr>
                    <w:t>环境风险防范措施、应急系统</w:t>
                  </w:r>
                </w:p>
              </w:tc>
              <w:tc>
                <w:tcPr>
                  <w:tcW w:w="534" w:type="pct"/>
                  <w:tcBorders>
                    <w:tl2br w:val="nil"/>
                    <w:tr2bl w:val="nil"/>
                  </w:tcBorders>
                  <w:noWrap w:val="0"/>
                  <w:vAlign w:val="center"/>
                </w:tcPr>
                <w:p w14:paraId="7ABE08CD">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2</w:t>
                  </w:r>
                </w:p>
              </w:tc>
              <w:tc>
                <w:tcPr>
                  <w:tcW w:w="534" w:type="pct"/>
                  <w:tcBorders>
                    <w:tl2br w:val="nil"/>
                    <w:tr2bl w:val="nil"/>
                  </w:tcBorders>
                  <w:noWrap w:val="0"/>
                  <w:vAlign w:val="center"/>
                </w:tcPr>
                <w:p w14:paraId="06261767">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lang w:val="en-US" w:eastAsia="zh-CN"/>
                    </w:rPr>
                    <w:t>2</w:t>
                  </w:r>
                </w:p>
              </w:tc>
            </w:tr>
            <w:tr w14:paraId="66B87D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931" w:type="pct"/>
                  <w:gridSpan w:val="5"/>
                  <w:tcBorders>
                    <w:tl2br w:val="nil"/>
                    <w:tr2bl w:val="nil"/>
                  </w:tcBorders>
                  <w:noWrap w:val="0"/>
                  <w:vAlign w:val="center"/>
                </w:tcPr>
                <w:p w14:paraId="5EE83A76">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合计</w:t>
                  </w:r>
                </w:p>
              </w:tc>
              <w:tc>
                <w:tcPr>
                  <w:tcW w:w="534" w:type="pct"/>
                  <w:tcBorders>
                    <w:tl2br w:val="nil"/>
                    <w:tr2bl w:val="nil"/>
                  </w:tcBorders>
                  <w:noWrap w:val="0"/>
                  <w:vAlign w:val="center"/>
                </w:tcPr>
                <w:p w14:paraId="5A69D28C">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rPr>
                  </w:pPr>
                  <w:r>
                    <w:rPr>
                      <w:rFonts w:hint="eastAsia" w:ascii="Times New Roman" w:hAnsi="Times New Roman" w:eastAsia="宋体" w:cs="Times New Roman"/>
                      <w:color w:val="auto"/>
                      <w:kern w:val="2"/>
                      <w:sz w:val="21"/>
                      <w:szCs w:val="21"/>
                      <w:lang w:val="en-US" w:eastAsia="zh-CN"/>
                    </w:rPr>
                    <w:t>79</w:t>
                  </w:r>
                </w:p>
              </w:tc>
              <w:tc>
                <w:tcPr>
                  <w:tcW w:w="534" w:type="pct"/>
                  <w:tcBorders>
                    <w:tl2br w:val="nil"/>
                    <w:tr2bl w:val="nil"/>
                  </w:tcBorders>
                  <w:noWrap w:val="0"/>
                  <w:vAlign w:val="center"/>
                </w:tcPr>
                <w:p w14:paraId="07FA194F">
                  <w:pPr>
                    <w:widowControl w:val="0"/>
                    <w:adjustRightInd w:val="0"/>
                    <w:snapToGrid w:val="0"/>
                    <w:spacing w:after="0" w:afterLines="-2147483648" w:line="240" w:lineRule="auto"/>
                    <w:ind w:firstLine="0" w:firstLineChars="0"/>
                    <w:jc w:val="center"/>
                    <w:rPr>
                      <w:rFonts w:hint="default" w:ascii="Times New Roman" w:hAnsi="Times New Roman" w:eastAsia="宋体" w:cs="Times New Roman"/>
                      <w:color w:val="auto"/>
                      <w:kern w:val="2"/>
                      <w:sz w:val="21"/>
                      <w:szCs w:val="21"/>
                      <w:lang w:val="en-US" w:eastAsia="zh-CN"/>
                    </w:rPr>
                  </w:pPr>
                  <w:r>
                    <w:rPr>
                      <w:rFonts w:hint="eastAsia" w:ascii="Times New Roman" w:hAnsi="Times New Roman" w:eastAsia="宋体" w:cs="Times New Roman"/>
                      <w:color w:val="auto"/>
                      <w:kern w:val="2"/>
                      <w:sz w:val="21"/>
                      <w:szCs w:val="21"/>
                      <w:highlight w:val="none"/>
                      <w:lang w:val="en-US" w:eastAsia="zh-CN"/>
                    </w:rPr>
                    <w:t>54</w:t>
                  </w:r>
                </w:p>
              </w:tc>
            </w:tr>
          </w:tbl>
          <w:p w14:paraId="488290CE">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3.4污染物排放总量</w:t>
            </w:r>
          </w:p>
          <w:p w14:paraId="1B581F58">
            <w:pPr>
              <w:pStyle w:val="10"/>
              <w:ind w:firstLine="480" w:firstLineChars="200"/>
              <w:rPr>
                <w:rFonts w:hint="eastAsia"/>
                <w:color w:val="FF0000"/>
                <w:lang w:val="en-US" w:eastAsia="zh-CN"/>
              </w:rPr>
            </w:pPr>
            <w:r>
              <w:rPr>
                <w:rFonts w:hint="default" w:ascii="Times New Roman" w:hAnsi="Times New Roman" w:eastAsia="宋体" w:cs="Times New Roman"/>
                <w:color w:val="auto"/>
                <w:sz w:val="24"/>
                <w:szCs w:val="24"/>
                <w:lang w:val="en-US" w:eastAsia="zh-CN"/>
              </w:rPr>
              <w:t>经对照《固定源污染源排污许可分类管理名录》（2019年版)，项目属制于“二十四、塑料制品业 292”——“62 年产1万吨及以上涉及改性的塑料薄膜制造2921”，属于简化管理行业，无需申请废气、废水总量控制指标。</w:t>
            </w:r>
          </w:p>
          <w:p w14:paraId="06770F04">
            <w:pPr>
              <w:pStyle w:val="27"/>
              <w:ind w:left="0" w:leftChars="0" w:firstLine="0" w:firstLineChars="0"/>
              <w:rPr>
                <w:rFonts w:eastAsia="仿宋_GB2312"/>
                <w:color w:val="FF0000"/>
                <w:sz w:val="21"/>
                <w:szCs w:val="21"/>
              </w:rPr>
            </w:pPr>
          </w:p>
          <w:p w14:paraId="0238A239">
            <w:pPr>
              <w:pStyle w:val="27"/>
              <w:ind w:left="0" w:leftChars="0" w:firstLine="0" w:firstLineChars="0"/>
              <w:rPr>
                <w:rFonts w:eastAsia="仿宋_GB2312"/>
                <w:color w:val="FF0000"/>
                <w:sz w:val="21"/>
                <w:szCs w:val="21"/>
              </w:rPr>
            </w:pPr>
          </w:p>
        </w:tc>
      </w:tr>
    </w:tbl>
    <w:p w14:paraId="42BED5F0">
      <w:pPr>
        <w:spacing w:line="360" w:lineRule="auto"/>
        <w:rPr>
          <w:rFonts w:hint="eastAsia" w:eastAsia="仿宋_GB2312"/>
          <w:color w:val="FF0000"/>
          <w:sz w:val="21"/>
          <w:szCs w:val="21"/>
        </w:rPr>
      </w:pPr>
    </w:p>
    <w:p w14:paraId="67403746">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eastAsia" w:ascii="Times New Roman" w:hAnsi="Times New Roman" w:eastAsia="宋体" w:cs="Times New Roman"/>
          <w:b/>
          <w:color w:val="auto"/>
          <w:sz w:val="24"/>
          <w:szCs w:val="24"/>
          <w:lang w:val="en-US" w:eastAsia="zh-CN"/>
        </w:rPr>
      </w:pPr>
      <w:bookmarkStart w:id="18" w:name="_Toc21039"/>
      <w:r>
        <w:rPr>
          <w:rFonts w:hint="default" w:ascii="Times New Roman" w:hAnsi="Times New Roman" w:eastAsia="宋体" w:cs="Times New Roman"/>
          <w:b/>
          <w:color w:val="auto"/>
          <w:sz w:val="24"/>
          <w:szCs w:val="24"/>
        </w:rPr>
        <w:t>表</w:t>
      </w:r>
      <w:r>
        <w:rPr>
          <w:rFonts w:hint="eastAsia" w:ascii="Times New Roman" w:hAnsi="Times New Roman" w:eastAsia="宋体" w:cs="Times New Roman"/>
          <w:b/>
          <w:color w:val="auto"/>
          <w:sz w:val="24"/>
          <w:szCs w:val="24"/>
        </w:rPr>
        <w:t>四</w:t>
      </w:r>
      <w:r>
        <w:rPr>
          <w:rFonts w:hint="eastAsia" w:ascii="Times New Roman" w:hAnsi="Times New Roman" w:eastAsia="宋体" w:cs="Times New Roman"/>
          <w:b/>
          <w:color w:val="auto"/>
          <w:sz w:val="24"/>
          <w:szCs w:val="24"/>
          <w:lang w:val="en-US" w:eastAsia="zh-CN"/>
        </w:rPr>
        <w:t xml:space="preserve">  建设项目环境影响报告表主要结论及审批部门审批决定</w:t>
      </w:r>
      <w:bookmarkEnd w:id="18"/>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Layout w:type="fixed"/>
        <w:tblCellMar>
          <w:top w:w="0" w:type="dxa"/>
          <w:left w:w="108" w:type="dxa"/>
          <w:bottom w:w="0" w:type="dxa"/>
          <w:right w:w="108" w:type="dxa"/>
        </w:tblCellMar>
      </w:tblPr>
      <w:tblGrid>
        <w:gridCol w:w="8924"/>
      </w:tblGrid>
      <w:tr w14:paraId="7A9085C2">
        <w:tblPrEx>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CellMar>
            <w:top w:w="0" w:type="dxa"/>
            <w:left w:w="108" w:type="dxa"/>
            <w:bottom w:w="0" w:type="dxa"/>
            <w:right w:w="108" w:type="dxa"/>
          </w:tblCellMar>
        </w:tblPrEx>
        <w:trPr>
          <w:trHeight w:val="13135" w:hRule="atLeast"/>
          <w:jc w:val="center"/>
        </w:trPr>
        <w:tc>
          <w:tcPr>
            <w:tcW w:w="8924" w:type="dxa"/>
            <w:tcBorders>
              <w:tl2br w:val="nil"/>
              <w:tr2bl w:val="nil"/>
            </w:tcBorders>
            <w:noWrap w:val="0"/>
            <w:vAlign w:val="top"/>
          </w:tcPr>
          <w:p w14:paraId="5CFBC49E">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b/>
                <w:bCs/>
                <w:color w:val="auto"/>
                <w:sz w:val="24"/>
                <w:szCs w:val="24"/>
                <w:lang w:val="en-US" w:eastAsia="zh-CN"/>
              </w:rPr>
            </w:pPr>
            <w:bookmarkStart w:id="19" w:name="_Toc29636"/>
            <w:r>
              <w:rPr>
                <w:rFonts w:hint="eastAsia" w:ascii="Times New Roman" w:hAnsi="Times New Roman" w:eastAsia="宋体" w:cs="Times New Roman"/>
                <w:b/>
                <w:bCs/>
                <w:color w:val="auto"/>
                <w:sz w:val="24"/>
                <w:szCs w:val="24"/>
                <w:lang w:val="en-US" w:eastAsia="zh-CN"/>
              </w:rPr>
              <w:t>4.1</w:t>
            </w:r>
            <w:r>
              <w:rPr>
                <w:rFonts w:hint="default" w:ascii="Times New Roman" w:hAnsi="Times New Roman" w:eastAsia="宋体" w:cs="Times New Roman"/>
                <w:b/>
                <w:bCs/>
                <w:color w:val="auto"/>
                <w:sz w:val="24"/>
                <w:szCs w:val="24"/>
                <w:lang w:val="en-US" w:eastAsia="zh-CN"/>
              </w:rPr>
              <w:t>、建设项目环境影响评价报告表的主要结论</w:t>
            </w:r>
            <w:bookmarkEnd w:id="19"/>
          </w:p>
          <w:p w14:paraId="6D892229">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bookmarkStart w:id="20" w:name="_Toc28353"/>
            <w:r>
              <w:rPr>
                <w:rFonts w:hint="default" w:ascii="Times New Roman" w:hAnsi="Times New Roman" w:eastAsia="宋体" w:cs="Times New Roman"/>
                <w:color w:val="auto"/>
                <w:sz w:val="24"/>
                <w:szCs w:val="24"/>
                <w:lang w:val="en-US" w:eastAsia="zh-CN"/>
              </w:rPr>
              <w:t>项目在生产过程中会产生废气、废水、噪声、固体废物等，在全面落实本报告表提出的各项环境保护措施的基础上，切实做到“三同时”，并在营运期内持之以恒加强环境管理的前提下，从环境保护角度，项目建设是可行的。</w:t>
            </w:r>
          </w:p>
          <w:p w14:paraId="24F17754">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4.2审批部门环评审批决定</w:t>
            </w:r>
            <w:bookmarkEnd w:id="20"/>
          </w:p>
          <w:p w14:paraId="39909690">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lang w:val="en-US" w:eastAsia="zh-CN"/>
              </w:rPr>
            </w:pPr>
            <w:r>
              <w:rPr>
                <w:rFonts w:hint="eastAsia" w:ascii="Times New Roman" w:hAnsi="Times New Roman" w:cs="Times New Roman" w:eastAsiaTheme="minorEastAsia"/>
                <w:b w:val="0"/>
                <w:bCs w:val="0"/>
                <w:color w:val="auto"/>
                <w:sz w:val="24"/>
                <w:szCs w:val="24"/>
                <w:lang w:val="en-US" w:eastAsia="zh-CN" w:bidi="ar-SA"/>
              </w:rPr>
              <w:t>《关于黄山市航瑞新材料有限公司年产1.2亿平方米PVC保护膜项目环境影响报告表的批复》（歙环字〔2021〕110号，2021年11月12日）</w:t>
            </w:r>
            <w:r>
              <w:rPr>
                <w:rFonts w:hint="eastAsia" w:ascii="Times New Roman" w:hAnsi="Times New Roman" w:eastAsia="宋体" w:cs="Times New Roman"/>
                <w:color w:val="auto"/>
                <w:sz w:val="24"/>
                <w:szCs w:val="24"/>
                <w:lang w:val="en-US" w:eastAsia="zh-CN"/>
              </w:rPr>
              <w:t>，详见附件3。</w:t>
            </w:r>
          </w:p>
          <w:p w14:paraId="053A25C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lang w:val="en-US" w:eastAsia="zh-CN"/>
              </w:rPr>
            </w:pPr>
            <w:r>
              <w:rPr>
                <w:rFonts w:hint="eastAsia" w:ascii="Times New Roman" w:hAnsi="Times New Roman" w:eastAsia="宋体" w:cs="Times New Roman"/>
                <w:color w:val="auto"/>
                <w:sz w:val="24"/>
                <w:szCs w:val="24"/>
                <w:lang w:val="en-US" w:eastAsia="zh-CN"/>
              </w:rPr>
              <w:t>本项目基本按照环评及批复要求，落实了各项污染治理措施，详见表4-1。</w:t>
            </w:r>
          </w:p>
          <w:p w14:paraId="1762CAA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表4-1 环保措施落实情况表</w:t>
            </w:r>
          </w:p>
          <w:tbl>
            <w:tblPr>
              <w:tblStyle w:val="2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6"/>
              <w:gridCol w:w="3616"/>
              <w:gridCol w:w="4363"/>
            </w:tblGrid>
            <w:tr w14:paraId="0D00CE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417" w:type="pct"/>
                  <w:tcBorders>
                    <w:tl2br w:val="nil"/>
                    <w:tr2bl w:val="nil"/>
                  </w:tcBorders>
                  <w:vAlign w:val="center"/>
                </w:tcPr>
                <w:p w14:paraId="10D50BA2">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序号</w:t>
                  </w:r>
                </w:p>
              </w:tc>
              <w:tc>
                <w:tcPr>
                  <w:tcW w:w="2076" w:type="pct"/>
                  <w:tcBorders>
                    <w:tl2br w:val="nil"/>
                    <w:tr2bl w:val="nil"/>
                  </w:tcBorders>
                  <w:vAlign w:val="center"/>
                </w:tcPr>
                <w:p w14:paraId="35CE2EB2">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环评批复要求</w:t>
                  </w:r>
                </w:p>
              </w:tc>
              <w:tc>
                <w:tcPr>
                  <w:tcW w:w="2506" w:type="pct"/>
                  <w:tcBorders>
                    <w:tl2br w:val="nil"/>
                    <w:tr2bl w:val="nil"/>
                  </w:tcBorders>
                  <w:vAlign w:val="center"/>
                </w:tcPr>
                <w:p w14:paraId="7F5ABA7E">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实际情况</w:t>
                  </w:r>
                </w:p>
              </w:tc>
            </w:tr>
            <w:tr w14:paraId="65121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7" w:type="pct"/>
                  <w:tcBorders>
                    <w:tl2br w:val="nil"/>
                    <w:tr2bl w:val="nil"/>
                  </w:tcBorders>
                  <w:vAlign w:val="center"/>
                </w:tcPr>
                <w:p w14:paraId="2D99EB2E">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2076" w:type="pct"/>
                  <w:tcBorders>
                    <w:tl2br w:val="nil"/>
                    <w:tr2bl w:val="nil"/>
                  </w:tcBorders>
                  <w:vAlign w:val="center"/>
                </w:tcPr>
                <w:p w14:paraId="3E2FE46C">
                  <w:pPr>
                    <w:keepNext w:val="0"/>
                    <w:keepLines w:val="0"/>
                    <w:pageBreakBefore w:val="0"/>
                    <w:widowControl w:val="0"/>
                    <w:kinsoku/>
                    <w:wordWrap w:val="0"/>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实行雨污分流、清污分流。该项目所产生的废水，须经处理达接管标准后，接入歙县经济开发区城西园区污水管网。</w:t>
                  </w:r>
                </w:p>
              </w:tc>
              <w:tc>
                <w:tcPr>
                  <w:tcW w:w="2506" w:type="pct"/>
                  <w:tcBorders>
                    <w:tl2br w:val="nil"/>
                    <w:tr2bl w:val="nil"/>
                  </w:tcBorders>
                  <w:vAlign w:val="center"/>
                </w:tcPr>
                <w:p w14:paraId="455F37A3">
                  <w:pPr>
                    <w:keepNext w:val="0"/>
                    <w:keepLines w:val="0"/>
                    <w:pageBreakBefore w:val="0"/>
                    <w:widowControl w:val="0"/>
                    <w:kinsoku/>
                    <w:wordWrap w:val="0"/>
                    <w:overflowPunct/>
                    <w:topLinePunct w:val="0"/>
                    <w:autoSpaceDE/>
                    <w:autoSpaceDN/>
                    <w:bidi w:val="0"/>
                    <w:adjustRightInd w:val="0"/>
                    <w:snapToGrid w:val="0"/>
                    <w:spacing w:after="0" w:line="240" w:lineRule="auto"/>
                    <w:ind w:firstLine="420" w:firstLineChars="200"/>
                    <w:jc w:val="both"/>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已落实</w:t>
                  </w:r>
                  <w:r>
                    <w:rPr>
                      <w:rFonts w:hint="eastAsia" w:ascii="Times New Roman" w:hAnsi="Times New Roman" w:eastAsia="宋体" w:cs="Times New Roman"/>
                      <w:color w:val="auto"/>
                      <w:sz w:val="21"/>
                      <w:szCs w:val="21"/>
                      <w:lang w:val="en-US" w:eastAsia="zh-CN"/>
                    </w:rPr>
                    <w:t>。项目（现阶段）</w:t>
                  </w:r>
                  <w:r>
                    <w:rPr>
                      <w:rFonts w:hint="default" w:ascii="Times New Roman" w:hAnsi="Times New Roman" w:eastAsia="宋体" w:cs="Times New Roman"/>
                      <w:color w:val="auto"/>
                      <w:sz w:val="21"/>
                      <w:szCs w:val="21"/>
                      <w:lang w:val="en-US" w:eastAsia="zh-CN"/>
                    </w:rPr>
                    <w:t>实行雨污分流、清污分流</w:t>
                  </w:r>
                  <w:r>
                    <w:rPr>
                      <w:rFonts w:hint="default" w:ascii="Times New Roman" w:hAnsi="Times New Roman" w:eastAsia="宋体" w:cs="Times New Roman"/>
                      <w:color w:val="auto"/>
                      <w:kern w:val="2"/>
                      <w:sz w:val="21"/>
                      <w:szCs w:val="21"/>
                      <w:lang w:val="en-US" w:eastAsia="zh-CN" w:bidi="ar-SA"/>
                    </w:rPr>
                    <w:t>。项目仅排放生活污水，生活污水经化粪池处理后通过园区污水管网送歙县循环经济园区污水处理厂（鼎元污水处理有限公司）处理达标后进入歙县污水处理厂</w:t>
                  </w:r>
                  <w:r>
                    <w:rPr>
                      <w:rFonts w:hint="eastAsia" w:ascii="Times New Roman" w:hAnsi="Times New Roman" w:eastAsia="宋体" w:cs="Times New Roman"/>
                      <w:color w:val="auto"/>
                      <w:kern w:val="2"/>
                      <w:sz w:val="21"/>
                      <w:szCs w:val="21"/>
                      <w:lang w:val="en-US" w:eastAsia="zh-CN" w:bidi="ar-SA"/>
                    </w:rPr>
                    <w:t>。</w:t>
                  </w:r>
                </w:p>
                <w:p w14:paraId="7F37E9B7">
                  <w:pPr>
                    <w:keepNext w:val="0"/>
                    <w:keepLines w:val="0"/>
                    <w:pageBreakBefore w:val="0"/>
                    <w:widowControl w:val="0"/>
                    <w:kinsoku/>
                    <w:wordWrap w:val="0"/>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bidi="ar-SA"/>
                    </w:rPr>
                    <w:t>由检测数据可知，项目厂区废水总排口pH值6.8~7.8、COD最高浓度79 mg/L、BOD</w:t>
                  </w:r>
                  <w:r>
                    <w:rPr>
                      <w:rFonts w:hint="default" w:ascii="Times New Roman" w:hAnsi="Times New Roman" w:eastAsia="宋体" w:cs="Times New Roman"/>
                      <w:color w:val="auto"/>
                      <w:sz w:val="21"/>
                      <w:szCs w:val="21"/>
                      <w:vertAlign w:val="subscript"/>
                      <w:lang w:val="en-US" w:eastAsia="zh-CN" w:bidi="ar-SA"/>
                    </w:rPr>
                    <w:t>5</w:t>
                  </w:r>
                  <w:r>
                    <w:rPr>
                      <w:rFonts w:hint="default" w:ascii="Times New Roman" w:hAnsi="Times New Roman" w:eastAsia="宋体" w:cs="Times New Roman"/>
                      <w:color w:val="auto"/>
                      <w:sz w:val="21"/>
                      <w:szCs w:val="21"/>
                      <w:lang w:val="en-US" w:eastAsia="zh-CN" w:bidi="ar-SA"/>
                    </w:rPr>
                    <w:t>最高浓度19 mg/L、SS最高浓度30 mg/L、氨氮最高浓度33.8 mg/L，排放浓度满足歙县循环经济园区污水处理厂接管标准。</w:t>
                  </w:r>
                </w:p>
              </w:tc>
            </w:tr>
            <w:tr w14:paraId="41F29E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7" w:type="pct"/>
                  <w:tcBorders>
                    <w:tl2br w:val="nil"/>
                    <w:tr2bl w:val="nil"/>
                  </w:tcBorders>
                  <w:vAlign w:val="center"/>
                </w:tcPr>
                <w:p w14:paraId="55396A4A">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2076" w:type="pct"/>
                  <w:tcBorders>
                    <w:tl2br w:val="nil"/>
                    <w:tr2bl w:val="nil"/>
                  </w:tcBorders>
                  <w:vAlign w:val="center"/>
                </w:tcPr>
                <w:p w14:paraId="2B4ABAD4">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强化各项废气治理措施。进一步优化废气治理措施收集处理措施，合理设计有机废气收集处理系统，努力提高有机废气收集处理效率。项目生产过程中产生的有机废气等，须经收集后，通过废气治理设施处理，达到相应标准后，通过不低于15米高</w:t>
                  </w:r>
                  <w:r>
                    <w:rPr>
                      <w:rFonts w:hint="eastAsia" w:ascii="Times New Roman" w:hAnsi="Times New Roman" w:eastAsia="宋体" w:cs="Times New Roman"/>
                      <w:color w:val="auto"/>
                      <w:sz w:val="21"/>
                      <w:szCs w:val="21"/>
                      <w:lang w:val="en-US" w:eastAsia="zh-CN"/>
                    </w:rPr>
                    <w:t>排气筒</w:t>
                  </w:r>
                  <w:r>
                    <w:rPr>
                      <w:rFonts w:hint="default" w:ascii="Times New Roman" w:hAnsi="Times New Roman" w:eastAsia="宋体" w:cs="Times New Roman"/>
                      <w:color w:val="auto"/>
                      <w:sz w:val="21"/>
                      <w:szCs w:val="21"/>
                      <w:lang w:val="en-US" w:eastAsia="zh-CN"/>
                    </w:rPr>
                    <w:t>排放。有组织及厂界浓度执行《大气污染物综合排放标准》(GB16297-1996)表2中二级标准，厂区内挥发性有机物无组织排放执行《挥发性有机物无组织排放标准》(GB37822-2019)附录A中标准。</w:t>
                  </w:r>
                </w:p>
              </w:tc>
              <w:tc>
                <w:tcPr>
                  <w:tcW w:w="2506" w:type="pct"/>
                  <w:tcBorders>
                    <w:tl2br w:val="nil"/>
                    <w:tr2bl w:val="nil"/>
                  </w:tcBorders>
                  <w:vAlign w:val="center"/>
                </w:tcPr>
                <w:p w14:paraId="048BF125">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已落实，项目（现阶段）废气主要为印刷机、烘箱、涂布机、配胶室及危废暂存间废气，以上废气收集后经“气动旋流净化塔+干式过滤箱+活性炭吸附浓缩+催化燃烧”处理措施处理后通过15米高排气筒（DA001）排放。</w:t>
                  </w:r>
                </w:p>
                <w:p w14:paraId="7A4A0598">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由检测数据可知，项目DA001非甲烷总烃最高浓度为55.4 mg/m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，最高排放速率为1.17kg/h；甲醇最高浓度为36.3 mg/m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，最高排放速率为0.691kg/h均满足《大气污染物综合排放标准》（GB16297-1996）表2中的二级排放标准。</w:t>
                  </w:r>
                </w:p>
                <w:p w14:paraId="2649DC68">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厂界非甲烷总烃最高浓度为0.72 mg/m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，甲醇最高浓度为0.6 mg/m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，污染物均满足《大气污染物综合排放标准》（GB16297－1996）中无组织排放浓度限值要求；厂区内非甲烷总烃最高浓度为0.87mg/m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，满足《挥发性有机物无组织排放标准》（GB37822-2019）附录A中无组织排放标准要求。</w:t>
                  </w:r>
                </w:p>
              </w:tc>
            </w:tr>
            <w:tr w14:paraId="32A70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7" w:type="pct"/>
                  <w:tcBorders>
                    <w:tl2br w:val="nil"/>
                    <w:tr2bl w:val="nil"/>
                  </w:tcBorders>
                  <w:vAlign w:val="center"/>
                </w:tcPr>
                <w:p w14:paraId="224F3CB8">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w:t>
                  </w:r>
                </w:p>
              </w:tc>
              <w:tc>
                <w:tcPr>
                  <w:tcW w:w="2076" w:type="pct"/>
                  <w:tcBorders>
                    <w:tl2br w:val="nil"/>
                    <w:tr2bl w:val="nil"/>
                  </w:tcBorders>
                  <w:vAlign w:val="center"/>
                </w:tcPr>
                <w:p w14:paraId="2A6678F3">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项目环境防护距离为厂界外100米，在环评确定的防护距离内，不得建设规划居住等环境敏感点。</w:t>
                  </w:r>
                </w:p>
              </w:tc>
              <w:tc>
                <w:tcPr>
                  <w:tcW w:w="2506" w:type="pct"/>
                  <w:tcBorders>
                    <w:tl2br w:val="nil"/>
                    <w:tr2bl w:val="nil"/>
                  </w:tcBorders>
                  <w:vAlign w:val="center"/>
                </w:tcPr>
                <w:p w14:paraId="34CE1623">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项目环境防护距离为厂界外100米</w:t>
                  </w:r>
                  <w:r>
                    <w:rPr>
                      <w:rFonts w:hint="eastAsia" w:ascii="Times New Roman" w:hAnsi="Times New Roman" w:eastAsia="宋体" w:cs="Times New Roman"/>
                      <w:color w:val="auto"/>
                      <w:sz w:val="21"/>
                      <w:szCs w:val="21"/>
                      <w:lang w:val="en-US" w:eastAsia="zh-CN"/>
                    </w:rPr>
                    <w:t>。目前防护距离内不涉及学校、医院、集中居民区、食品加工厂等环境敏感点，满足环境防护距离要求。</w:t>
                  </w:r>
                </w:p>
              </w:tc>
            </w:tr>
            <w:tr w14:paraId="02F3B2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6" w:type="dxa"/>
                  <w:tcBorders>
                    <w:tl2br w:val="nil"/>
                    <w:tr2bl w:val="nil"/>
                  </w:tcBorders>
                  <w:vAlign w:val="center"/>
                </w:tcPr>
                <w:p w14:paraId="0BC659E0">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2076" w:type="pct"/>
                  <w:tcBorders>
                    <w:tl2br w:val="nil"/>
                    <w:tr2bl w:val="nil"/>
                  </w:tcBorders>
                  <w:vAlign w:val="center"/>
                </w:tcPr>
                <w:p w14:paraId="153BF444">
                  <w:pPr>
                    <w:keepNext w:val="0"/>
                    <w:keepLines w:val="0"/>
                    <w:pageBreakBefore w:val="0"/>
                    <w:widowControl w:val="0"/>
                    <w:kinsoku/>
                    <w:wordWrap w:val="0"/>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选用低噪声设备，采取消音、隔声、吸声、减振等措施</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eastAsia="zh-CN"/>
                    </w:rPr>
                    <w:t>合理设计车间内设备布局，确保厂界达到《工业企业厂界环境噪声排放标准》(GB12348-2008)中3类标准。</w:t>
                  </w:r>
                </w:p>
              </w:tc>
              <w:tc>
                <w:tcPr>
                  <w:tcW w:w="2506" w:type="pct"/>
                  <w:tcBorders>
                    <w:tl2br w:val="nil"/>
                    <w:tr2bl w:val="nil"/>
                  </w:tcBorders>
                  <w:vAlign w:val="center"/>
                </w:tcPr>
                <w:p w14:paraId="2F1808D6">
                  <w:pPr>
                    <w:keepNext w:val="0"/>
                    <w:keepLines w:val="0"/>
                    <w:pageBreakBefore w:val="0"/>
                    <w:widowControl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已落实，</w:t>
                  </w:r>
                  <w:r>
                    <w:rPr>
                      <w:rFonts w:hint="default" w:ascii="Times New Roman" w:hAnsi="Times New Roman" w:eastAsia="宋体" w:cs="Times New Roman"/>
                      <w:color w:val="auto"/>
                      <w:sz w:val="21"/>
                      <w:szCs w:val="21"/>
                      <w:highlight w:val="none"/>
                      <w:lang w:val="en-US" w:eastAsia="zh-CN"/>
                    </w:rPr>
                    <w:t>优选低噪声设备，基础</w:t>
                  </w:r>
                  <w:r>
                    <w:rPr>
                      <w:rFonts w:hint="default" w:ascii="Times New Roman" w:hAnsi="Times New Roman" w:eastAsia="宋体" w:cs="Times New Roman"/>
                      <w:color w:val="auto"/>
                      <w:sz w:val="21"/>
                      <w:szCs w:val="21"/>
                      <w:lang w:eastAsia="zh-CN"/>
                    </w:rPr>
                    <w:t>减振</w:t>
                  </w:r>
                  <w:r>
                    <w:rPr>
                      <w:rFonts w:hint="default" w:ascii="Times New Roman" w:hAnsi="Times New Roman" w:eastAsia="宋体" w:cs="Times New Roman"/>
                      <w:color w:val="auto"/>
                      <w:sz w:val="21"/>
                      <w:szCs w:val="21"/>
                      <w:highlight w:val="none"/>
                      <w:lang w:val="en-US" w:eastAsia="zh-CN"/>
                    </w:rPr>
                    <w:t>、建筑隔声、消声</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验收监测结果表明，经检测，厂界昼间噪声最高</w:t>
                  </w:r>
                  <w:r>
                    <w:rPr>
                      <w:rFonts w:hint="eastAsia" w:ascii="Times New Roman" w:hAnsi="Times New Roman" w:eastAsia="宋体" w:cs="Times New Roman"/>
                      <w:color w:val="auto"/>
                      <w:sz w:val="21"/>
                      <w:szCs w:val="21"/>
                      <w:lang w:val="en-US" w:eastAsia="zh-CN"/>
                    </w:rPr>
                    <w:t xml:space="preserve">62.6 </w:t>
                  </w:r>
                  <w:r>
                    <w:rPr>
                      <w:rFonts w:hint="default" w:ascii="Times New Roman" w:hAnsi="Times New Roman" w:eastAsia="宋体" w:cs="Times New Roman"/>
                      <w:color w:val="auto"/>
                      <w:sz w:val="21"/>
                      <w:szCs w:val="21"/>
                      <w:lang w:val="en-US" w:eastAsia="zh-CN"/>
                    </w:rPr>
                    <w:t>dB（A），满足《工业企业厂界环境噪声排放标准》(GB12348-2008)中3类标准。</w:t>
                  </w:r>
                </w:p>
              </w:tc>
            </w:tr>
            <w:tr w14:paraId="00684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6" w:type="dxa"/>
                  <w:tcBorders>
                    <w:tl2br w:val="nil"/>
                    <w:tr2bl w:val="nil"/>
                  </w:tcBorders>
                  <w:vAlign w:val="center"/>
                </w:tcPr>
                <w:p w14:paraId="6CC05C1A">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2076" w:type="pct"/>
                  <w:tcBorders>
                    <w:tl2br w:val="nil"/>
                    <w:tr2bl w:val="nil"/>
                  </w:tcBorders>
                  <w:vAlign w:val="center"/>
                </w:tcPr>
                <w:p w14:paraId="33533CBD">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加强固体废弃物的环境管理，分类收集各种废弃物。可利用的固体废弃物应回收利用，无利用价值非危废部分废弃物及生活垃圾须委托市政环卫部门统一清运处理。</w:t>
                  </w:r>
                </w:p>
                <w:p w14:paraId="4AFD2B38">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项目产生的废原料包装桶、废抹布、废胶、废活性炭等属于危险废物，须按照《中华人民共和国固体废弃物污染环境防治法》中的第六章规定和《危险废物贮存污染控制标准》(GB18597-2001)的要求，配套建设规范的危险废物贮存场所，并做好防风、防雨、防流失、防渗漏等工作，最终委托有资质的专业机构对其进行处理。</w:t>
                  </w:r>
                </w:p>
              </w:tc>
              <w:tc>
                <w:tcPr>
                  <w:tcW w:w="2506" w:type="pct"/>
                  <w:tcBorders>
                    <w:tl2br w:val="nil"/>
                    <w:tr2bl w:val="nil"/>
                  </w:tcBorders>
                  <w:vAlign w:val="center"/>
                </w:tcPr>
                <w:p w14:paraId="0D3BD487">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已落实</w:t>
                  </w:r>
                  <w:r>
                    <w:rPr>
                      <w:rFonts w:hint="default"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项目</w:t>
                  </w:r>
                  <w:r>
                    <w:rPr>
                      <w:rFonts w:hint="default" w:ascii="Times New Roman" w:hAnsi="Times New Roman" w:eastAsia="宋体" w:cs="Times New Roman"/>
                      <w:color w:val="auto"/>
                      <w:sz w:val="21"/>
                      <w:szCs w:val="21"/>
                      <w:lang w:eastAsia="zh-CN"/>
                    </w:rPr>
                    <w:t>现阶段产生的固废主要是一般固废、生活垃圾和危险废物，一般固体废物主要有废边角料。危险废物主要是废原料包装桶、废抹布、废胶、废过滤介质、废催化剂和废活性炭。</w:t>
                  </w:r>
                </w:p>
                <w:p w14:paraId="7A08FC9D">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项目（现阶段）废边角料经分类收集后外售；生活垃圾由环卫部门统一清运；废原料包装</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桶、废抹布、废胶、废过滤介质、废催化剂和废活性炭收集后分类暂存于危废暂存间，定期委托</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马鞍山澳新环保科技有限公司</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处置</w:t>
                  </w:r>
                  <w: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t>。企业按照《中华人民共和国固体废物污染环境防治法》等法律法规规定以及《危险废</w:t>
                  </w:r>
                  <w:r>
                    <w:rPr>
                      <w:rFonts w:hint="eastAsia" w:ascii="Times New Roman" w:hAnsi="Times New Roman" w:eastAsia="宋体" w:cs="Times New Roman"/>
                      <w:color w:val="auto"/>
                      <w:kern w:val="0"/>
                      <w:sz w:val="21"/>
                      <w:szCs w:val="21"/>
                      <w:highlight w:val="none"/>
                      <w:lang w:val="en-US" w:eastAsia="zh-CN" w:bidi="ar-SA"/>
                    </w:rPr>
                    <w:t>物贮存污染控制标准》(GB18597-2023)等规定要求予以规范管理</w:t>
                  </w:r>
                  <w:r>
                    <w:rPr>
                      <w:rFonts w:hint="default" w:ascii="Times New Roman" w:hAnsi="Times New Roman" w:eastAsia="宋体" w:cs="Times New Roman"/>
                      <w:color w:val="auto"/>
                      <w:sz w:val="21"/>
                      <w:szCs w:val="21"/>
                      <w:lang w:eastAsia="zh-CN"/>
                    </w:rPr>
                    <w:t>。</w:t>
                  </w:r>
                </w:p>
              </w:tc>
            </w:tr>
            <w:tr w14:paraId="7FC1B3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726" w:type="dxa"/>
                  <w:tcBorders>
                    <w:tl2br w:val="nil"/>
                    <w:tr2bl w:val="nil"/>
                  </w:tcBorders>
                  <w:vAlign w:val="center"/>
                </w:tcPr>
                <w:p w14:paraId="6B2F57FA">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2076" w:type="pct"/>
                  <w:tcBorders>
                    <w:tl2br w:val="nil"/>
                    <w:tr2bl w:val="nil"/>
                  </w:tcBorders>
                  <w:vAlign w:val="center"/>
                </w:tcPr>
                <w:p w14:paraId="03551EA4">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做好土壤及地下水污染防治工作。项目应落实防渗措施，确保地下水环境质量达到《地下水质量标准》</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GB/T14848-2017</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中的</w:t>
                  </w:r>
                  <w:r>
                    <w:rPr>
                      <w:rFonts w:hint="default" w:ascii="Times New Roman" w:hAnsi="Times New Roman" w:eastAsia="宋体" w:cs="Times New Roman"/>
                      <w:color w:val="auto"/>
                      <w:sz w:val="21"/>
                      <w:szCs w:val="21"/>
                      <w:lang w:val="en-US" w:eastAsia="zh-CN"/>
                    </w:rPr>
                    <w:t>Ⅲ</w:t>
                  </w:r>
                  <w:r>
                    <w:rPr>
                      <w:rFonts w:hint="default" w:ascii="Times New Roman" w:hAnsi="Times New Roman" w:eastAsia="宋体" w:cs="Times New Roman"/>
                      <w:color w:val="auto"/>
                      <w:sz w:val="21"/>
                      <w:szCs w:val="21"/>
                    </w:rPr>
                    <w:t>类标准、建设用地达到《土壤环境质量建设用地土壤污染风险管控标准</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试行</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GB36600-2018</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表1中第二类用地选值标准，防止地下水、土壤受到污染，确保项目区域的地下水、土壤环境质量不降低。</w:t>
                  </w:r>
                </w:p>
              </w:tc>
              <w:tc>
                <w:tcPr>
                  <w:tcW w:w="2506" w:type="pct"/>
                  <w:tcBorders>
                    <w:tl2br w:val="nil"/>
                    <w:tr2bl w:val="nil"/>
                  </w:tcBorders>
                  <w:vAlign w:val="center"/>
                </w:tcPr>
                <w:p w14:paraId="6F489C66">
                  <w:pPr>
                    <w:keepNext w:val="0"/>
                    <w:keepLines w:val="0"/>
                    <w:pageBreakBefore w:val="0"/>
                    <w:widowControl/>
                    <w:suppressLineNumbers w:val="0"/>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highlight w:val="none"/>
                      <w:lang w:eastAsia="zh-CN"/>
                    </w:rPr>
                    <w:t>项目</w:t>
                  </w:r>
                  <w:r>
                    <w:rPr>
                      <w:rFonts w:hint="eastAsia" w:ascii="Times New Roman" w:hAnsi="Times New Roman" w:eastAsia="宋体" w:cs="Times New Roman"/>
                      <w:color w:val="auto"/>
                      <w:sz w:val="21"/>
                      <w:szCs w:val="21"/>
                      <w:highlight w:val="none"/>
                      <w:lang w:val="en-US" w:eastAsia="zh-CN"/>
                    </w:rPr>
                    <w:t>已落实分区防渗。地面硬化，</w:t>
                  </w:r>
                  <w:r>
                    <w:rPr>
                      <w:rFonts w:hint="default" w:ascii="Times New Roman" w:hAnsi="Times New Roman" w:eastAsia="宋体" w:cs="Times New Roman"/>
                      <w:color w:val="auto"/>
                      <w:sz w:val="21"/>
                      <w:szCs w:val="21"/>
                      <w:highlight w:val="none"/>
                      <w:lang w:eastAsia="zh-CN"/>
                    </w:rPr>
                    <w:t>危废暂存间已落实重点防渗，除重点防渗区之外的区域和办公生活区域进行一般防渗</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防止地下水、土壤受到污染</w:t>
                  </w:r>
                  <w:r>
                    <w:rPr>
                      <w:rFonts w:hint="default" w:ascii="Times New Roman" w:hAnsi="Times New Roman" w:eastAsia="宋体" w:cs="Times New Roman"/>
                      <w:color w:val="auto"/>
                      <w:sz w:val="21"/>
                      <w:szCs w:val="21"/>
                      <w:highlight w:val="none"/>
                      <w:lang w:eastAsia="zh-CN"/>
                    </w:rPr>
                    <w:t>。</w:t>
                  </w:r>
                </w:p>
              </w:tc>
            </w:tr>
            <w:tr w14:paraId="154A06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7" w:hRule="atLeast"/>
              </w:trPr>
              <w:tc>
                <w:tcPr>
                  <w:tcW w:w="726" w:type="dxa"/>
                  <w:tcBorders>
                    <w:tl2br w:val="nil"/>
                    <w:tr2bl w:val="nil"/>
                  </w:tcBorders>
                  <w:vAlign w:val="center"/>
                </w:tcPr>
                <w:p w14:paraId="5CF8A102">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w:t>
                  </w:r>
                </w:p>
              </w:tc>
              <w:tc>
                <w:tcPr>
                  <w:tcW w:w="2076" w:type="pct"/>
                  <w:tcBorders>
                    <w:tl2br w:val="nil"/>
                    <w:tr2bl w:val="nil"/>
                  </w:tcBorders>
                  <w:vAlign w:val="center"/>
                </w:tcPr>
                <w:p w14:paraId="54365529">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做好项目的环境风险防范工作。建立环境风险应急管理体系，根据项目的建设内容制定切实的环境风险应急预案，保证防范环境风险的配套设施、设备的落实</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eastAsia="zh-CN"/>
                    </w:rPr>
                    <w:t>根据突发环境事件应急预案中要求将应急物质配置到位;在生产中要严格执行防范环境风险事故的制度和措施，做好运输、贮存和生产等环节的环境风险管理，按照环境风险应急预案定期开展环境风险应急演练</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eastAsia="zh-CN"/>
                    </w:rPr>
                    <w:t>切实加强环境风险设施的日常管理和维护，确保应急状态下能正常投入使用。</w:t>
                  </w:r>
                </w:p>
              </w:tc>
              <w:tc>
                <w:tcPr>
                  <w:tcW w:w="2506" w:type="pct"/>
                  <w:tcBorders>
                    <w:tl2br w:val="nil"/>
                    <w:tr2bl w:val="nil"/>
                  </w:tcBorders>
                  <w:vAlign w:val="center"/>
                </w:tcPr>
                <w:p w14:paraId="291A8724">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已落实，项目认真落实环境风险</w:t>
                  </w:r>
                  <w:r>
                    <w:rPr>
                      <w:rFonts w:hint="default" w:ascii="Times New Roman" w:hAnsi="Times New Roman" w:eastAsia="宋体" w:cs="Times New Roman"/>
                      <w:color w:val="auto"/>
                      <w:sz w:val="21"/>
                      <w:szCs w:val="21"/>
                      <w:lang w:eastAsia="zh-CN"/>
                    </w:rPr>
                    <w:t>管控</w:t>
                  </w:r>
                  <w:r>
                    <w:rPr>
                      <w:rFonts w:hint="default" w:ascii="Times New Roman" w:hAnsi="Times New Roman" w:eastAsia="宋体" w:cs="Times New Roman"/>
                      <w:color w:val="auto"/>
                      <w:sz w:val="21"/>
                      <w:szCs w:val="21"/>
                      <w:lang w:val="en-US" w:eastAsia="zh-CN"/>
                    </w:rPr>
                    <w:t>工作，突发环境事件</w:t>
                  </w:r>
                  <w:r>
                    <w:rPr>
                      <w:rFonts w:hint="default" w:ascii="Times New Roman" w:hAnsi="Times New Roman" w:eastAsia="宋体" w:cs="Times New Roman"/>
                      <w:color w:val="auto"/>
                      <w:sz w:val="21"/>
                      <w:szCs w:val="21"/>
                      <w:lang w:eastAsia="zh-CN"/>
                    </w:rPr>
                    <w:t>应急预案</w:t>
                  </w:r>
                  <w:r>
                    <w:rPr>
                      <w:rFonts w:hint="eastAsia" w:ascii="Times New Roman" w:hAnsi="Times New Roman" w:eastAsia="宋体" w:cs="Times New Roman"/>
                      <w:color w:val="auto"/>
                      <w:sz w:val="21"/>
                      <w:szCs w:val="21"/>
                      <w:lang w:val="en-US" w:eastAsia="zh-CN"/>
                    </w:rPr>
                    <w:t>已编制（备案号：341021-2025-289-L）</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厂区内已</w:t>
                  </w:r>
                  <w:r>
                    <w:rPr>
                      <w:rFonts w:hint="default" w:ascii="Times New Roman" w:hAnsi="Times New Roman" w:eastAsia="宋体" w:cs="Times New Roman"/>
                      <w:color w:val="auto"/>
                      <w:sz w:val="21"/>
                      <w:szCs w:val="21"/>
                      <w:lang w:eastAsia="zh-CN"/>
                    </w:rPr>
                    <w:t>配备相应的</w:t>
                  </w:r>
                  <w:r>
                    <w:rPr>
                      <w:rFonts w:hint="default" w:ascii="Times New Roman" w:hAnsi="Times New Roman" w:eastAsia="宋体" w:cs="Times New Roman"/>
                      <w:color w:val="auto"/>
                      <w:sz w:val="21"/>
                      <w:szCs w:val="21"/>
                      <w:lang w:val="en-US" w:eastAsia="zh-CN"/>
                    </w:rPr>
                    <w:t>应急</w:t>
                  </w:r>
                  <w:r>
                    <w:rPr>
                      <w:rFonts w:hint="default" w:ascii="Times New Roman" w:hAnsi="Times New Roman" w:eastAsia="宋体" w:cs="Times New Roman"/>
                      <w:color w:val="auto"/>
                      <w:sz w:val="21"/>
                      <w:szCs w:val="21"/>
                      <w:lang w:eastAsia="zh-CN"/>
                    </w:rPr>
                    <w:t>物资和设备，</w:t>
                  </w:r>
                  <w:r>
                    <w:rPr>
                      <w:rFonts w:hint="default" w:ascii="Times New Roman" w:hAnsi="Times New Roman" w:eastAsia="宋体" w:cs="Times New Roman"/>
                      <w:color w:val="auto"/>
                      <w:sz w:val="21"/>
                      <w:szCs w:val="21"/>
                      <w:lang w:val="en-US" w:eastAsia="zh-CN"/>
                    </w:rPr>
                    <w:t>将按应急预案要求</w:t>
                  </w:r>
                  <w:r>
                    <w:rPr>
                      <w:rFonts w:hint="default" w:ascii="Times New Roman" w:hAnsi="Times New Roman" w:eastAsia="宋体" w:cs="Times New Roman"/>
                      <w:color w:val="auto"/>
                      <w:sz w:val="21"/>
                      <w:szCs w:val="21"/>
                      <w:lang w:eastAsia="zh-CN"/>
                    </w:rPr>
                    <w:t>定期开展环境应急培训和演练</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配备污水截止阀和雨水截止阀各一个。</w:t>
                  </w:r>
                </w:p>
                <w:p w14:paraId="21FD7101">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FF0000"/>
                      <w:sz w:val="21"/>
                      <w:szCs w:val="21"/>
                      <w:lang w:val="en-US" w:eastAsia="zh-CN"/>
                    </w:rPr>
                  </w:pPr>
                </w:p>
              </w:tc>
            </w:tr>
            <w:tr w14:paraId="747BF6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3" w:hRule="atLeast"/>
              </w:trPr>
              <w:tc>
                <w:tcPr>
                  <w:tcW w:w="417" w:type="pct"/>
                  <w:tcBorders>
                    <w:tl2br w:val="nil"/>
                    <w:tr2bl w:val="nil"/>
                  </w:tcBorders>
                  <w:vAlign w:val="center"/>
                </w:tcPr>
                <w:p w14:paraId="534D1382">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8</w:t>
                  </w:r>
                </w:p>
              </w:tc>
              <w:tc>
                <w:tcPr>
                  <w:tcW w:w="2076" w:type="pct"/>
                  <w:tcBorders>
                    <w:tl2br w:val="nil"/>
                    <w:tr2bl w:val="nil"/>
                  </w:tcBorders>
                  <w:vAlign w:val="center"/>
                </w:tcPr>
                <w:p w14:paraId="60126037">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制定相应的环境监测计划，按规范进行日常监测，发现数据异常，及时分析原因，采取相应的控制措施，确保污染物稳定达标排放，项目区环境达到环境质量标准。</w:t>
                  </w:r>
                </w:p>
              </w:tc>
              <w:tc>
                <w:tcPr>
                  <w:tcW w:w="2506" w:type="pct"/>
                  <w:tcBorders>
                    <w:tl2br w:val="nil"/>
                    <w:tr2bl w:val="nil"/>
                  </w:tcBorders>
                  <w:vAlign w:val="center"/>
                </w:tcPr>
                <w:p w14:paraId="061582D8">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已落实，项目安排专人负责厂区环保设施</w:t>
                  </w:r>
                  <w:r>
                    <w:rPr>
                      <w:rFonts w:hint="eastAsia" w:ascii="Times New Roman" w:hAnsi="Times New Roman" w:eastAsia="宋体" w:cs="Times New Roman"/>
                      <w:color w:val="auto"/>
                      <w:sz w:val="21"/>
                      <w:szCs w:val="21"/>
                      <w:lang w:val="en-US" w:eastAsia="zh-CN"/>
                    </w:rPr>
                    <w:t>管理，定期对</w:t>
                  </w:r>
                  <w:r>
                    <w:rPr>
                      <w:rFonts w:hint="default" w:ascii="Times New Roman" w:hAnsi="Times New Roman" w:eastAsia="宋体" w:cs="Times New Roman"/>
                      <w:color w:val="auto"/>
                      <w:sz w:val="21"/>
                      <w:szCs w:val="21"/>
                      <w:lang w:val="en-US" w:eastAsia="zh-CN"/>
                    </w:rPr>
                    <w:t>污染治理设施</w:t>
                  </w:r>
                  <w:r>
                    <w:rPr>
                      <w:rFonts w:hint="eastAsia" w:ascii="Times New Roman" w:hAnsi="Times New Roman" w:eastAsia="宋体" w:cs="Times New Roman"/>
                      <w:color w:val="auto"/>
                      <w:sz w:val="21"/>
                      <w:szCs w:val="21"/>
                      <w:lang w:val="en-US" w:eastAsia="zh-CN"/>
                    </w:rPr>
                    <w:t>进行巡查和</w:t>
                  </w:r>
                  <w:r>
                    <w:rPr>
                      <w:rFonts w:hint="default" w:ascii="Times New Roman" w:hAnsi="Times New Roman" w:eastAsia="宋体" w:cs="Times New Roman"/>
                      <w:color w:val="auto"/>
                      <w:sz w:val="21"/>
                      <w:szCs w:val="21"/>
                      <w:lang w:val="en-US" w:eastAsia="zh-CN"/>
                    </w:rPr>
                    <w:t>维护</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确保污染物治理设施正常运行污染物稳定达标排放。</w:t>
                  </w:r>
                </w:p>
              </w:tc>
            </w:tr>
            <w:tr w14:paraId="76395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7" w:type="pct"/>
                  <w:tcBorders>
                    <w:tl2br w:val="nil"/>
                    <w:tr2bl w:val="nil"/>
                  </w:tcBorders>
                  <w:vAlign w:val="center"/>
                </w:tcPr>
                <w:p w14:paraId="798EFB47">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p>
              </w:tc>
              <w:tc>
                <w:tcPr>
                  <w:tcW w:w="2076" w:type="pct"/>
                  <w:tcBorders>
                    <w:tl2br w:val="nil"/>
                    <w:tr2bl w:val="nil"/>
                  </w:tcBorders>
                  <w:vAlign w:val="center"/>
                </w:tcPr>
                <w:p w14:paraId="128408DA">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建立健全环境管理规章制度，确定专人负责环保工作，加强对污染治理设施的管理和维护</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确保污染物治理设施正常运行污染物稳定达标排放。</w:t>
                  </w:r>
                </w:p>
              </w:tc>
              <w:tc>
                <w:tcPr>
                  <w:tcW w:w="2506" w:type="pct"/>
                  <w:tcBorders>
                    <w:tl2br w:val="nil"/>
                    <w:tr2bl w:val="nil"/>
                  </w:tcBorders>
                  <w:vAlign w:val="center"/>
                </w:tcPr>
                <w:p w14:paraId="68CC069C">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已落实，建设单位安排专人负责厂区环保设施、制定环保制度等，定期对厂区员工开展环保宣传教育培训等工作，提高员工环保意识</w:t>
                  </w:r>
                  <w:r>
                    <w:rPr>
                      <w:rFonts w:hint="eastAsia" w:ascii="Times New Roman" w:hAnsi="Times New Roman" w:eastAsia="宋体" w:cs="Times New Roman"/>
                      <w:color w:val="auto"/>
                      <w:sz w:val="21"/>
                      <w:szCs w:val="21"/>
                      <w:lang w:val="en-US" w:eastAsia="zh-CN"/>
                    </w:rPr>
                    <w:t>，定期对</w:t>
                  </w:r>
                  <w:r>
                    <w:rPr>
                      <w:rFonts w:hint="default" w:ascii="Times New Roman" w:hAnsi="Times New Roman" w:eastAsia="宋体" w:cs="Times New Roman"/>
                      <w:color w:val="auto"/>
                      <w:sz w:val="21"/>
                      <w:szCs w:val="21"/>
                      <w:lang w:val="en-US" w:eastAsia="zh-CN"/>
                    </w:rPr>
                    <w:t>污染治理设施</w:t>
                  </w:r>
                  <w:r>
                    <w:rPr>
                      <w:rFonts w:hint="eastAsia" w:ascii="Times New Roman" w:hAnsi="Times New Roman" w:eastAsia="宋体" w:cs="Times New Roman"/>
                      <w:color w:val="auto"/>
                      <w:sz w:val="21"/>
                      <w:szCs w:val="21"/>
                      <w:lang w:val="en-US" w:eastAsia="zh-CN"/>
                    </w:rPr>
                    <w:t>进行巡查和</w:t>
                  </w:r>
                  <w:r>
                    <w:rPr>
                      <w:rFonts w:hint="default" w:ascii="Times New Roman" w:hAnsi="Times New Roman" w:eastAsia="宋体" w:cs="Times New Roman"/>
                      <w:color w:val="auto"/>
                      <w:sz w:val="21"/>
                      <w:szCs w:val="21"/>
                      <w:lang w:val="en-US" w:eastAsia="zh-CN"/>
                    </w:rPr>
                    <w:t>维护</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确保污染物治理设施正常运行污染物稳定达标排放</w:t>
                  </w:r>
                  <w:r>
                    <w:rPr>
                      <w:rFonts w:hint="default" w:ascii="Times New Roman" w:hAnsi="Times New Roman" w:eastAsia="宋体" w:cs="Times New Roman"/>
                      <w:color w:val="auto"/>
                      <w:sz w:val="21"/>
                      <w:szCs w:val="21"/>
                      <w:lang w:eastAsia="zh-CN"/>
                    </w:rPr>
                    <w:t>。</w:t>
                  </w:r>
                </w:p>
              </w:tc>
            </w:tr>
            <w:tr w14:paraId="221BC7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17" w:type="pct"/>
                  <w:tcBorders>
                    <w:tl2br w:val="nil"/>
                    <w:tr2bl w:val="nil"/>
                  </w:tcBorders>
                  <w:vAlign w:val="center"/>
                </w:tcPr>
                <w:p w14:paraId="47ECBAA5">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w:t>
                  </w:r>
                </w:p>
              </w:tc>
              <w:tc>
                <w:tcPr>
                  <w:tcW w:w="2076" w:type="pct"/>
                  <w:tcBorders>
                    <w:tl2br w:val="nil"/>
                    <w:tr2bl w:val="nil"/>
                  </w:tcBorders>
                  <w:vAlign w:val="center"/>
                </w:tcPr>
                <w:p w14:paraId="530A4CAE">
                  <w:pPr>
                    <w:keepNext w:val="0"/>
                    <w:keepLines w:val="0"/>
                    <w:pageBreakBefore w:val="0"/>
                    <w:widowControl w:val="0"/>
                    <w:kinsoku/>
                    <w:wordWrap/>
                    <w:overflowPunct/>
                    <w:topLinePunct w:val="0"/>
                    <w:autoSpaceDE/>
                    <w:autoSpaceDN/>
                    <w:bidi w:val="0"/>
                    <w:adjustRightInd w:val="0"/>
                    <w:snapToGrid w:val="0"/>
                    <w:spacing w:after="0" w:line="240" w:lineRule="auto"/>
                    <w:ind w:firstLine="420" w:firstLineChars="200"/>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在施工期中按照《安徽省大气污染防治条例》《安徽省建筑工程施工扬尘污染防治规定》《黄山市建设工程扬尘污染防治管理办法》等防止扬尘污染，保障施工场地周边环境达到《环境空气质量标准》(GB3095-2012)表1、表2中的二级标准。施工废水、施工人员产生的生活污水经沉淀池、化粪池处理达歙县经济开发区城西园区接管标准后</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接入园区污水管网处理</w:t>
                  </w:r>
                  <w:r>
                    <w:rPr>
                      <w:rFonts w:hint="eastAsia" w:ascii="Times New Roman" w:hAnsi="Times New Roman" w:eastAsia="宋体" w:cs="Times New Roman"/>
                      <w:color w:val="auto"/>
                      <w:sz w:val="21"/>
                      <w:szCs w:val="21"/>
                      <w:lang w:val="en-US" w:eastAsia="zh-CN"/>
                    </w:rPr>
                    <w:t>。</w:t>
                  </w:r>
                </w:p>
              </w:tc>
              <w:tc>
                <w:tcPr>
                  <w:tcW w:w="2506" w:type="pct"/>
                  <w:tcBorders>
                    <w:tl2br w:val="nil"/>
                    <w:tr2bl w:val="nil"/>
                  </w:tcBorders>
                  <w:vAlign w:val="center"/>
                </w:tcPr>
                <w:p w14:paraId="4EE81A39">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已落实，施工期中按照《安徽省大气污染防治条例》《安徽省建筑工程施工扬尘污染防治规定》《黄山市建设工程扬尘污染防治管理办法》等防止扬尘污染</w:t>
                  </w:r>
                  <w:r>
                    <w:rPr>
                      <w:rFonts w:hint="eastAsia" w:ascii="Times New Roman" w:hAnsi="Times New Roman" w:eastAsia="宋体" w:cs="Times New Roman"/>
                      <w:color w:val="auto"/>
                      <w:sz w:val="21"/>
                      <w:szCs w:val="21"/>
                      <w:lang w:val="en-US" w:eastAsia="zh-CN"/>
                    </w:rPr>
                    <w:t>，施工废水、施工人员产生的生活污水经沉淀池、化粪池处理达歙县经济开发区城西园区接管标准后，接入园区污水管网处理，不会对环境产生污染。</w:t>
                  </w:r>
                </w:p>
              </w:tc>
            </w:tr>
          </w:tbl>
          <w:p w14:paraId="115A2F0C">
            <w:pPr>
              <w:widowControl w:val="0"/>
              <w:spacing w:before="62" w:beforeLines="20" w:after="0" w:afterLines="0" w:line="360" w:lineRule="auto"/>
              <w:jc w:val="both"/>
              <w:rPr>
                <w:rFonts w:eastAsia="仿宋_GB2312"/>
                <w:color w:val="FF0000"/>
                <w:sz w:val="21"/>
                <w:szCs w:val="21"/>
              </w:rPr>
            </w:pPr>
          </w:p>
        </w:tc>
      </w:tr>
    </w:tbl>
    <w:p w14:paraId="441E3DD2">
      <w:pPr>
        <w:spacing w:line="360" w:lineRule="auto"/>
        <w:rPr>
          <w:rFonts w:eastAsia="仿宋_GB2312"/>
          <w:color w:val="FF0000"/>
          <w:sz w:val="21"/>
          <w:szCs w:val="21"/>
        </w:rPr>
        <w:sectPr>
          <w:pgSz w:w="11906" w:h="16838"/>
          <w:pgMar w:top="1440" w:right="1800" w:bottom="1440" w:left="1800" w:header="708" w:footer="708" w:gutter="0"/>
          <w:pgBorders>
            <w:top w:val="none" w:sz="0" w:space="0"/>
            <w:left w:val="none" w:sz="0" w:space="0"/>
            <w:bottom w:val="none" w:sz="0" w:space="0"/>
            <w:right w:val="none" w:sz="0" w:space="0"/>
          </w:pgBorders>
          <w:pgNumType w:fmt="decimal"/>
          <w:cols w:space="720" w:num="1"/>
          <w:docGrid w:linePitch="360" w:charSpace="0"/>
        </w:sectPr>
      </w:pPr>
    </w:p>
    <w:p w14:paraId="0DC0F42B">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default" w:ascii="Times New Roman" w:hAnsi="Times New Roman" w:eastAsia="宋体" w:cs="Times New Roman"/>
          <w:b/>
          <w:color w:val="auto"/>
          <w:sz w:val="24"/>
          <w:szCs w:val="24"/>
        </w:rPr>
      </w:pPr>
      <w:bookmarkStart w:id="21" w:name="_Toc8728"/>
      <w:r>
        <w:rPr>
          <w:rFonts w:hint="default" w:ascii="Times New Roman" w:hAnsi="Times New Roman" w:eastAsia="宋体" w:cs="Times New Roman"/>
          <w:b/>
          <w:color w:val="auto"/>
          <w:sz w:val="24"/>
          <w:szCs w:val="24"/>
        </w:rPr>
        <w:t>表</w:t>
      </w:r>
      <w:r>
        <w:rPr>
          <w:rFonts w:hint="eastAsia" w:ascii="Times New Roman" w:hAnsi="Times New Roman" w:eastAsia="宋体" w:cs="Times New Roman"/>
          <w:b/>
          <w:color w:val="auto"/>
          <w:sz w:val="24"/>
          <w:szCs w:val="24"/>
        </w:rPr>
        <w:t>五</w:t>
      </w:r>
      <w:r>
        <w:rPr>
          <w:rFonts w:hint="eastAsia" w:ascii="Times New Roman" w:hAnsi="Times New Roman" w:eastAsia="宋体" w:cs="Times New Roman"/>
          <w:b/>
          <w:color w:val="auto"/>
          <w:sz w:val="24"/>
          <w:szCs w:val="24"/>
          <w:lang w:val="en-US" w:eastAsia="zh-CN"/>
        </w:rPr>
        <w:t xml:space="preserve">  </w:t>
      </w:r>
      <w:r>
        <w:rPr>
          <w:rFonts w:hint="default" w:ascii="Times New Roman" w:hAnsi="Times New Roman" w:eastAsia="宋体" w:cs="Times New Roman"/>
          <w:b/>
          <w:color w:val="auto"/>
          <w:sz w:val="24"/>
          <w:szCs w:val="24"/>
        </w:rPr>
        <w:t>验收监测质量保证及质量控制</w:t>
      </w:r>
      <w:bookmarkEnd w:id="21"/>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Layout w:type="fixed"/>
        <w:tblCellMar>
          <w:top w:w="0" w:type="dxa"/>
          <w:left w:w="108" w:type="dxa"/>
          <w:bottom w:w="0" w:type="dxa"/>
          <w:right w:w="108" w:type="dxa"/>
        </w:tblCellMar>
      </w:tblPr>
      <w:tblGrid>
        <w:gridCol w:w="8924"/>
      </w:tblGrid>
      <w:tr w14:paraId="06CF720A">
        <w:tblPrEx>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CellMar>
            <w:top w:w="0" w:type="dxa"/>
            <w:left w:w="108" w:type="dxa"/>
            <w:bottom w:w="0" w:type="dxa"/>
            <w:right w:w="108" w:type="dxa"/>
          </w:tblCellMar>
        </w:tblPrEx>
        <w:trPr>
          <w:trHeight w:val="10925" w:hRule="atLeast"/>
          <w:jc w:val="center"/>
        </w:trPr>
        <w:tc>
          <w:tcPr>
            <w:tcW w:w="8924" w:type="dxa"/>
            <w:tcBorders>
              <w:tl2br w:val="nil"/>
              <w:tr2bl w:val="nil"/>
            </w:tcBorders>
            <w:noWrap w:val="0"/>
            <w:vAlign w:val="top"/>
          </w:tcPr>
          <w:p w14:paraId="03B6EF4F">
            <w:pPr>
              <w:keepNext w:val="0"/>
              <w:keepLines w:val="0"/>
              <w:pageBreakBefore w:val="0"/>
              <w:widowControl/>
              <w:kinsoku/>
              <w:wordWrap/>
              <w:overflowPunct/>
              <w:topLinePunct w:val="0"/>
              <w:autoSpaceDE/>
              <w:autoSpaceDN/>
              <w:bidi w:val="0"/>
              <w:spacing w:after="0" w:line="360" w:lineRule="auto"/>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验收监测质量保证及质量控制：</w:t>
            </w:r>
          </w:p>
          <w:p w14:paraId="3DB40BD9">
            <w:pPr>
              <w:keepNext w:val="0"/>
              <w:keepLines w:val="0"/>
              <w:pageBreakBefore w:val="0"/>
              <w:widowControl/>
              <w:kinsoku/>
              <w:wordWrap/>
              <w:overflowPunct/>
              <w:topLinePunct w:val="0"/>
              <w:autoSpaceDE/>
              <w:autoSpaceDN/>
              <w:bidi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项目验收监测采用</w:t>
            </w:r>
            <w:r>
              <w:rPr>
                <w:rFonts w:hint="eastAsia" w:ascii="Times New Roman" w:hAnsi="Times New Roman" w:eastAsia="宋体" w:cs="Times New Roman"/>
                <w:color w:val="auto"/>
                <w:sz w:val="24"/>
                <w:szCs w:val="24"/>
                <w:lang w:val="en-US" w:eastAsia="zh-CN"/>
              </w:rPr>
              <w:t>黄山华安测检测技术有限公司</w:t>
            </w:r>
            <w:r>
              <w:rPr>
                <w:rFonts w:hint="default" w:ascii="Times New Roman" w:hAnsi="Times New Roman" w:eastAsia="宋体" w:cs="Times New Roman"/>
                <w:color w:val="auto"/>
                <w:sz w:val="24"/>
                <w:szCs w:val="24"/>
                <w:lang w:val="en-US" w:eastAsia="zh-CN"/>
              </w:rPr>
              <w:t>通过实验室资质认定的分析方法，各项目监测及分析方法见下表5-1。</w:t>
            </w:r>
          </w:p>
          <w:p w14:paraId="7471B812">
            <w:pPr>
              <w:keepNext w:val="0"/>
              <w:keepLines w:val="0"/>
              <w:pageBreakBefore w:val="0"/>
              <w:widowControl/>
              <w:numPr>
                <w:ilvl w:val="0"/>
                <w:numId w:val="2"/>
              </w:numPr>
              <w:kinsoku/>
              <w:wordWrap/>
              <w:overflowPunct/>
              <w:topLinePunct w:val="0"/>
              <w:autoSpaceDE/>
              <w:autoSpaceDN/>
              <w:bidi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监测分析使用仪器</w:t>
            </w:r>
          </w:p>
          <w:p w14:paraId="6E42752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表5-1  本次验收依据及方法</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2287"/>
              <w:gridCol w:w="1325"/>
              <w:gridCol w:w="1197"/>
              <w:gridCol w:w="2786"/>
            </w:tblGrid>
            <w:tr w14:paraId="22B771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7" w:type="pct"/>
                  <w:tcBorders>
                    <w:tl2br w:val="nil"/>
                    <w:tr2bl w:val="nil"/>
                  </w:tcBorders>
                  <w:vAlign w:val="center"/>
                </w:tcPr>
                <w:p w14:paraId="02E7D2B9">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检测项目</w:t>
                  </w:r>
                </w:p>
              </w:tc>
              <w:tc>
                <w:tcPr>
                  <w:tcW w:w="1313" w:type="pct"/>
                  <w:tcBorders>
                    <w:tl2br w:val="nil"/>
                    <w:tr2bl w:val="nil"/>
                  </w:tcBorders>
                  <w:vAlign w:val="center"/>
                </w:tcPr>
                <w:p w14:paraId="70226941">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lang w:val="en-US" w:eastAsia="zh-CN"/>
                    </w:rPr>
                    <w:t>主要检测仪器及编号</w:t>
                  </w:r>
                </w:p>
              </w:tc>
              <w:tc>
                <w:tcPr>
                  <w:tcW w:w="761" w:type="pct"/>
                  <w:tcBorders>
                    <w:tl2br w:val="nil"/>
                    <w:tr2bl w:val="nil"/>
                  </w:tcBorders>
                  <w:vAlign w:val="center"/>
                </w:tcPr>
                <w:p w14:paraId="6E1DDE05">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仪器计量</w:t>
                  </w:r>
                </w:p>
                <w:p w14:paraId="6925C2BB">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有效期</w:t>
                  </w:r>
                </w:p>
              </w:tc>
              <w:tc>
                <w:tcPr>
                  <w:tcW w:w="687" w:type="pct"/>
                  <w:tcBorders>
                    <w:tl2br w:val="nil"/>
                    <w:tr2bl w:val="nil"/>
                  </w:tcBorders>
                  <w:vAlign w:val="center"/>
                </w:tcPr>
                <w:p w14:paraId="515BFEF9">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检出限</w:t>
                  </w:r>
                </w:p>
              </w:tc>
              <w:tc>
                <w:tcPr>
                  <w:tcW w:w="1600" w:type="pct"/>
                  <w:tcBorders>
                    <w:tl2br w:val="nil"/>
                    <w:tr2bl w:val="nil"/>
                  </w:tcBorders>
                  <w:vAlign w:val="center"/>
                </w:tcPr>
                <w:p w14:paraId="13A6EFD7">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rPr>
                    <w:t>检测</w:t>
                  </w:r>
                  <w:r>
                    <w:rPr>
                      <w:rFonts w:hint="default" w:ascii="Times New Roman" w:hAnsi="Times New Roman" w:eastAsia="宋体" w:cs="Times New Roman"/>
                      <w:b/>
                      <w:bCs w:val="0"/>
                      <w:color w:val="auto"/>
                      <w:sz w:val="21"/>
                      <w:szCs w:val="21"/>
                      <w:lang w:val="en-US" w:eastAsia="zh-CN"/>
                    </w:rPr>
                    <w:t>方法</w:t>
                  </w:r>
                </w:p>
              </w:tc>
            </w:tr>
            <w:tr w14:paraId="302B9A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5"/>
                  <w:tcBorders>
                    <w:tl2br w:val="nil"/>
                    <w:tr2bl w:val="nil"/>
                  </w:tcBorders>
                  <w:vAlign w:val="center"/>
                </w:tcPr>
                <w:p w14:paraId="09E25D1F">
                  <w:pPr>
                    <w:keepNext w:val="0"/>
                    <w:keepLines w:val="0"/>
                    <w:pageBreakBefore w:val="0"/>
                    <w:widowControl/>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val="0"/>
                      <w:bCs/>
                      <w:color w:val="auto"/>
                      <w:sz w:val="21"/>
                      <w:szCs w:val="21"/>
                      <w:lang w:eastAsia="zh-CN"/>
                    </w:rPr>
                  </w:pPr>
                  <w:r>
                    <w:rPr>
                      <w:rFonts w:hint="default" w:ascii="Times New Roman" w:hAnsi="Times New Roman" w:eastAsia="宋体" w:cs="Times New Roman"/>
                      <w:b w:val="0"/>
                      <w:bCs/>
                      <w:color w:val="auto"/>
                      <w:sz w:val="21"/>
                      <w:szCs w:val="21"/>
                      <w:lang w:eastAsia="zh-CN"/>
                    </w:rPr>
                    <w:t>废水</w:t>
                  </w:r>
                </w:p>
              </w:tc>
            </w:tr>
            <w:tr w14:paraId="5BEF29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7" w:type="pct"/>
                  <w:tcBorders>
                    <w:tl2br w:val="nil"/>
                    <w:tr2bl w:val="nil"/>
                  </w:tcBorders>
                  <w:vAlign w:val="center"/>
                </w:tcPr>
                <w:p w14:paraId="6623B632">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pH值</w:t>
                  </w:r>
                </w:p>
              </w:tc>
              <w:tc>
                <w:tcPr>
                  <w:tcW w:w="1313" w:type="pct"/>
                  <w:tcBorders>
                    <w:tl2br w:val="nil"/>
                    <w:tr2bl w:val="nil"/>
                  </w:tcBorders>
                  <w:vAlign w:val="center"/>
                </w:tcPr>
                <w:p w14:paraId="409A6A40">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便携式pH计</w:t>
                  </w:r>
                </w:p>
                <w:p w14:paraId="15A16DFC">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PHBJ-260（编号：HAC-YQ-165）</w:t>
                  </w:r>
                </w:p>
              </w:tc>
              <w:tc>
                <w:tcPr>
                  <w:tcW w:w="761" w:type="pct"/>
                  <w:tcBorders>
                    <w:tl2br w:val="nil"/>
                    <w:tr2bl w:val="nil"/>
                  </w:tcBorders>
                  <w:vAlign w:val="center"/>
                </w:tcPr>
                <w:p w14:paraId="40ABC9BD">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202</w:t>
                  </w:r>
                  <w:r>
                    <w:rPr>
                      <w:rFonts w:hint="default"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rPr>
                    <w:t>.0</w:t>
                  </w:r>
                  <w:r>
                    <w:rPr>
                      <w:rFonts w:hint="default" w:ascii="Times New Roman" w:hAnsi="Times New Roman" w:eastAsia="宋体" w:cs="Times New Roman"/>
                      <w:color w:val="auto"/>
                      <w:sz w:val="21"/>
                      <w:szCs w:val="21"/>
                      <w:lang w:val="en-US" w:eastAsia="zh-CN"/>
                    </w:rPr>
                    <w:t>6.09</w:t>
                  </w:r>
                </w:p>
              </w:tc>
              <w:tc>
                <w:tcPr>
                  <w:tcW w:w="687" w:type="pct"/>
                  <w:tcBorders>
                    <w:tl2br w:val="nil"/>
                    <w:tr2bl w:val="nil"/>
                  </w:tcBorders>
                  <w:vAlign w:val="center"/>
                </w:tcPr>
                <w:p w14:paraId="3EC36CA2">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1600" w:type="pct"/>
                  <w:tcBorders>
                    <w:tl2br w:val="nil"/>
                    <w:tr2bl w:val="nil"/>
                  </w:tcBorders>
                  <w:vAlign w:val="center"/>
                </w:tcPr>
                <w:p w14:paraId="22094BAF">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水质 pH值的测定 电极法</w:t>
                  </w:r>
                </w:p>
                <w:p w14:paraId="44A304EB">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HJ 1147-2020</w:t>
                  </w:r>
                </w:p>
              </w:tc>
            </w:tr>
            <w:tr w14:paraId="587C42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7" w:type="pct"/>
                  <w:tcBorders>
                    <w:tl2br w:val="nil"/>
                    <w:tr2bl w:val="nil"/>
                  </w:tcBorders>
                  <w:vAlign w:val="center"/>
                </w:tcPr>
                <w:p w14:paraId="20ABEED6">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五日生化需氧量</w:t>
                  </w:r>
                </w:p>
              </w:tc>
              <w:tc>
                <w:tcPr>
                  <w:tcW w:w="1313" w:type="pct"/>
                  <w:tcBorders>
                    <w:tl2br w:val="nil"/>
                    <w:tr2bl w:val="nil"/>
                  </w:tcBorders>
                  <w:vAlign w:val="center"/>
                </w:tcPr>
                <w:p w14:paraId="1D7B08EF">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溶解氧测定仪JPB-607A（编号：HAC-YQ-002）</w:t>
                  </w:r>
                </w:p>
              </w:tc>
              <w:tc>
                <w:tcPr>
                  <w:tcW w:w="761" w:type="pct"/>
                  <w:tcBorders>
                    <w:tl2br w:val="nil"/>
                    <w:tr2bl w:val="nil"/>
                  </w:tcBorders>
                  <w:vAlign w:val="center"/>
                </w:tcPr>
                <w:p w14:paraId="2A21BA75">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202</w:t>
                  </w:r>
                  <w:r>
                    <w:rPr>
                      <w:rFonts w:hint="default"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rPr>
                    <w:t>.07.</w:t>
                  </w:r>
                  <w:r>
                    <w:rPr>
                      <w:rFonts w:hint="default" w:ascii="Times New Roman" w:hAnsi="Times New Roman" w:eastAsia="宋体" w:cs="Times New Roman"/>
                      <w:color w:val="auto"/>
                      <w:sz w:val="21"/>
                      <w:szCs w:val="21"/>
                      <w:lang w:val="en-US" w:eastAsia="zh-CN"/>
                    </w:rPr>
                    <w:t>07</w:t>
                  </w:r>
                </w:p>
              </w:tc>
              <w:tc>
                <w:tcPr>
                  <w:tcW w:w="687" w:type="pct"/>
                  <w:tcBorders>
                    <w:tl2br w:val="nil"/>
                    <w:tr2bl w:val="nil"/>
                  </w:tcBorders>
                  <w:vAlign w:val="center"/>
                </w:tcPr>
                <w:p w14:paraId="709CB18D">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0.5mg/L</w:t>
                  </w:r>
                </w:p>
              </w:tc>
              <w:tc>
                <w:tcPr>
                  <w:tcW w:w="1600" w:type="pct"/>
                  <w:tcBorders>
                    <w:tl2br w:val="nil"/>
                    <w:tr2bl w:val="nil"/>
                  </w:tcBorders>
                  <w:vAlign w:val="center"/>
                </w:tcPr>
                <w:p w14:paraId="6E5373B3">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水质 五日生化需氧量（BOD5）的测定 稀释与接种法 HJ 505-2009</w:t>
                  </w:r>
                </w:p>
              </w:tc>
            </w:tr>
            <w:tr w14:paraId="2F949D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7" w:type="pct"/>
                  <w:tcBorders>
                    <w:tl2br w:val="nil"/>
                    <w:tr2bl w:val="nil"/>
                  </w:tcBorders>
                  <w:vAlign w:val="center"/>
                </w:tcPr>
                <w:p w14:paraId="19513D0D">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化学需氧量</w:t>
                  </w:r>
                </w:p>
              </w:tc>
              <w:tc>
                <w:tcPr>
                  <w:tcW w:w="1313" w:type="pct"/>
                  <w:tcBorders>
                    <w:tl2br w:val="nil"/>
                    <w:tr2bl w:val="nil"/>
                  </w:tcBorders>
                  <w:vAlign w:val="center"/>
                </w:tcPr>
                <w:p w14:paraId="07EF033D">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COD回流消解仪JF-112（编号：HAC-YQ-163）</w:t>
                  </w:r>
                </w:p>
              </w:tc>
              <w:tc>
                <w:tcPr>
                  <w:tcW w:w="761" w:type="pct"/>
                  <w:tcBorders>
                    <w:tl2br w:val="nil"/>
                    <w:tr2bl w:val="nil"/>
                  </w:tcBorders>
                  <w:vAlign w:val="center"/>
                </w:tcPr>
                <w:p w14:paraId="5175EF9F">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687" w:type="pct"/>
                  <w:tcBorders>
                    <w:tl2br w:val="nil"/>
                    <w:tr2bl w:val="nil"/>
                  </w:tcBorders>
                  <w:vAlign w:val="center"/>
                </w:tcPr>
                <w:p w14:paraId="436456F5">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4mg/L</w:t>
                  </w:r>
                </w:p>
              </w:tc>
              <w:tc>
                <w:tcPr>
                  <w:tcW w:w="1600" w:type="pct"/>
                  <w:tcBorders>
                    <w:tl2br w:val="nil"/>
                    <w:tr2bl w:val="nil"/>
                  </w:tcBorders>
                  <w:vAlign w:val="center"/>
                </w:tcPr>
                <w:p w14:paraId="47E41F80">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水质 化学需氧量的测定 重铬酸盐法HJ 828-2017</w:t>
                  </w:r>
                </w:p>
              </w:tc>
            </w:tr>
            <w:tr w14:paraId="6EDD0B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7" w:type="pct"/>
                  <w:tcBorders>
                    <w:tl2br w:val="nil"/>
                    <w:tr2bl w:val="nil"/>
                  </w:tcBorders>
                  <w:vAlign w:val="center"/>
                </w:tcPr>
                <w:p w14:paraId="78B15877">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悬浮物</w:t>
                  </w:r>
                </w:p>
              </w:tc>
              <w:tc>
                <w:tcPr>
                  <w:tcW w:w="1313" w:type="pct"/>
                  <w:tcBorders>
                    <w:tl2br w:val="nil"/>
                    <w:tr2bl w:val="nil"/>
                  </w:tcBorders>
                  <w:vAlign w:val="center"/>
                </w:tcPr>
                <w:p w14:paraId="40C88688">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万分之一电子天平ATX224R （编号：HAC-YQ-005）</w:t>
                  </w:r>
                </w:p>
              </w:tc>
              <w:tc>
                <w:tcPr>
                  <w:tcW w:w="761" w:type="pct"/>
                  <w:tcBorders>
                    <w:tl2br w:val="nil"/>
                    <w:tr2bl w:val="nil"/>
                  </w:tcBorders>
                  <w:vAlign w:val="center"/>
                </w:tcPr>
                <w:p w14:paraId="1D70BAD5">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202</w:t>
                  </w:r>
                  <w:r>
                    <w:rPr>
                      <w:rFonts w:hint="eastAsia"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rPr>
                    <w:t>.07.0</w:t>
                  </w:r>
                  <w:r>
                    <w:rPr>
                      <w:rFonts w:hint="default" w:ascii="Times New Roman" w:hAnsi="Times New Roman" w:eastAsia="宋体" w:cs="Times New Roman"/>
                      <w:color w:val="auto"/>
                      <w:sz w:val="21"/>
                      <w:szCs w:val="21"/>
                      <w:lang w:val="en-US" w:eastAsia="zh-CN"/>
                    </w:rPr>
                    <w:t>7</w:t>
                  </w:r>
                </w:p>
              </w:tc>
              <w:tc>
                <w:tcPr>
                  <w:tcW w:w="687" w:type="pct"/>
                  <w:tcBorders>
                    <w:tl2br w:val="nil"/>
                    <w:tr2bl w:val="nil"/>
                  </w:tcBorders>
                  <w:vAlign w:val="center"/>
                </w:tcPr>
                <w:p w14:paraId="002672FE">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1600" w:type="pct"/>
                  <w:tcBorders>
                    <w:tl2br w:val="nil"/>
                    <w:tr2bl w:val="nil"/>
                  </w:tcBorders>
                  <w:vAlign w:val="center"/>
                </w:tcPr>
                <w:p w14:paraId="177AA9BE">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水质 悬浮物的测定 重量法</w:t>
                  </w:r>
                </w:p>
                <w:p w14:paraId="5EA2B6B3">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GB/T 11901-1989</w:t>
                  </w:r>
                </w:p>
              </w:tc>
            </w:tr>
            <w:tr w14:paraId="7799D9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7" w:type="pct"/>
                  <w:tcBorders>
                    <w:tl2br w:val="nil"/>
                    <w:tr2bl w:val="nil"/>
                  </w:tcBorders>
                  <w:vAlign w:val="center"/>
                </w:tcPr>
                <w:p w14:paraId="773F49DC">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氨氮</w:t>
                  </w:r>
                </w:p>
              </w:tc>
              <w:tc>
                <w:tcPr>
                  <w:tcW w:w="1313" w:type="pct"/>
                  <w:tcBorders>
                    <w:tl2br w:val="nil"/>
                    <w:tr2bl w:val="nil"/>
                  </w:tcBorders>
                  <w:vAlign w:val="center"/>
                </w:tcPr>
                <w:p w14:paraId="016CA1FC">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紫外可见分光光度计 T600A（编号：HAC-YQ-037）</w:t>
                  </w:r>
                </w:p>
              </w:tc>
              <w:tc>
                <w:tcPr>
                  <w:tcW w:w="761" w:type="pct"/>
                  <w:tcBorders>
                    <w:tl2br w:val="nil"/>
                    <w:tr2bl w:val="nil"/>
                  </w:tcBorders>
                  <w:vAlign w:val="center"/>
                </w:tcPr>
                <w:p w14:paraId="14179812">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202</w:t>
                  </w:r>
                  <w:r>
                    <w:rPr>
                      <w:rFonts w:hint="eastAsia"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rPr>
                    <w:t>.07.0</w:t>
                  </w:r>
                  <w:r>
                    <w:rPr>
                      <w:rFonts w:hint="default" w:ascii="Times New Roman" w:hAnsi="Times New Roman" w:eastAsia="宋体" w:cs="Times New Roman"/>
                      <w:color w:val="auto"/>
                      <w:sz w:val="21"/>
                      <w:szCs w:val="21"/>
                      <w:lang w:val="en-US" w:eastAsia="zh-CN"/>
                    </w:rPr>
                    <w:t>7</w:t>
                  </w:r>
                </w:p>
              </w:tc>
              <w:tc>
                <w:tcPr>
                  <w:tcW w:w="687" w:type="pct"/>
                  <w:tcBorders>
                    <w:tl2br w:val="nil"/>
                    <w:tr2bl w:val="nil"/>
                  </w:tcBorders>
                  <w:vAlign w:val="center"/>
                </w:tcPr>
                <w:p w14:paraId="1CC3FF77">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0.025mg/L</w:t>
                  </w:r>
                </w:p>
              </w:tc>
              <w:tc>
                <w:tcPr>
                  <w:tcW w:w="1600" w:type="pct"/>
                  <w:tcBorders>
                    <w:tl2br w:val="nil"/>
                    <w:tr2bl w:val="nil"/>
                  </w:tcBorders>
                  <w:vAlign w:val="center"/>
                </w:tcPr>
                <w:p w14:paraId="63EDE574">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水质 氨氮的测定 纳氏试剂分光光度法 HJ 535-2009</w:t>
                  </w:r>
                </w:p>
              </w:tc>
            </w:tr>
            <w:tr w14:paraId="0557E9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5"/>
                  <w:tcBorders>
                    <w:tl2br w:val="nil"/>
                    <w:tr2bl w:val="nil"/>
                  </w:tcBorders>
                  <w:vAlign w:val="center"/>
                </w:tcPr>
                <w:p w14:paraId="37DEA6D3">
                  <w:pPr>
                    <w:keepNext w:val="0"/>
                    <w:keepLines w:val="0"/>
                    <w:pageBreakBefore w:val="0"/>
                    <w:widowControl/>
                    <w:tabs>
                      <w:tab w:val="left" w:pos="2544"/>
                    </w:tabs>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有组织废气</w:t>
                  </w:r>
                </w:p>
              </w:tc>
            </w:tr>
            <w:tr w14:paraId="1C64E7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7" w:type="pct"/>
                  <w:tcBorders>
                    <w:tl2br w:val="nil"/>
                    <w:tr2bl w:val="nil"/>
                  </w:tcBorders>
                  <w:vAlign w:val="center"/>
                </w:tcPr>
                <w:p w14:paraId="0F482A03">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甲醇</w:t>
                  </w:r>
                </w:p>
              </w:tc>
              <w:tc>
                <w:tcPr>
                  <w:tcW w:w="1313" w:type="pct"/>
                  <w:tcBorders>
                    <w:tl2br w:val="nil"/>
                    <w:tr2bl w:val="nil"/>
                  </w:tcBorders>
                  <w:vAlign w:val="center"/>
                </w:tcPr>
                <w:p w14:paraId="3A1EE070">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可见分光光度计</w:t>
                  </w:r>
                </w:p>
                <w:p w14:paraId="35B3A91F">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VIS-723N（编号SYA-013-02）</w:t>
                  </w:r>
                </w:p>
              </w:tc>
              <w:tc>
                <w:tcPr>
                  <w:tcW w:w="761" w:type="pct"/>
                  <w:tcBorders>
                    <w:tl2br w:val="nil"/>
                    <w:tr2bl w:val="nil"/>
                  </w:tcBorders>
                  <w:vAlign w:val="center"/>
                </w:tcPr>
                <w:p w14:paraId="6EAD5733">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687" w:type="pct"/>
                  <w:tcBorders>
                    <w:tl2br w:val="nil"/>
                    <w:tr2bl w:val="nil"/>
                  </w:tcBorders>
                  <w:vAlign w:val="center"/>
                </w:tcPr>
                <w:p w14:paraId="235EDC17">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0.3</w:t>
                  </w:r>
                  <w:r>
                    <w:rPr>
                      <w:rFonts w:hint="default" w:ascii="Times New Roman" w:hAnsi="Times New Roman" w:eastAsia="宋体" w:cs="Times New Roman"/>
                      <w:color w:val="auto"/>
                      <w:sz w:val="21"/>
                      <w:szCs w:val="21"/>
                    </w:rPr>
                    <w:t xml:space="preserve"> mg/m</w:t>
                  </w:r>
                  <w:r>
                    <w:rPr>
                      <w:rFonts w:hint="default" w:ascii="Times New Roman" w:hAnsi="Times New Roman" w:eastAsia="宋体" w:cs="Times New Roman"/>
                      <w:color w:val="auto"/>
                      <w:sz w:val="21"/>
                      <w:szCs w:val="21"/>
                      <w:vertAlign w:val="superscript"/>
                    </w:rPr>
                    <w:t>3</w:t>
                  </w:r>
                </w:p>
              </w:tc>
              <w:tc>
                <w:tcPr>
                  <w:tcW w:w="1600" w:type="pct"/>
                  <w:tcBorders>
                    <w:tl2br w:val="nil"/>
                    <w:tr2bl w:val="nil"/>
                  </w:tcBorders>
                  <w:vAlign w:val="center"/>
                </w:tcPr>
                <w:p w14:paraId="52368019">
                  <w:pPr>
                    <w:keepNext w:val="0"/>
                    <w:keepLines w:val="0"/>
                    <w:pageBreakBefore w:val="0"/>
                    <w:widowControl/>
                    <w:kinsoku/>
                    <w:wordWrap/>
                    <w:overflowPunct/>
                    <w:topLinePunct w:val="0"/>
                    <w:autoSpaceDE/>
                    <w:autoSpaceDN/>
                    <w:bidi w:val="0"/>
                    <w:adjustRightInd w:val="0"/>
                    <w:snapToGrid w:val="0"/>
                    <w:spacing w:after="0" w:afterLines="0" w:line="240" w:lineRule="auto"/>
                    <w:jc w:val="both"/>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甲醇 变色酸比色法 《空气和废气监测分析方法》（第四版）国家 环境保护总局（2003年）</w:t>
                  </w:r>
                </w:p>
              </w:tc>
            </w:tr>
            <w:tr w14:paraId="25FF56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7" w:type="pct"/>
                  <w:tcBorders>
                    <w:tl2br w:val="nil"/>
                    <w:tr2bl w:val="nil"/>
                  </w:tcBorders>
                  <w:vAlign w:val="center"/>
                </w:tcPr>
                <w:p w14:paraId="6546B879">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非甲烷总烃</w:t>
                  </w:r>
                </w:p>
              </w:tc>
              <w:tc>
                <w:tcPr>
                  <w:tcW w:w="1313" w:type="pct"/>
                  <w:tcBorders>
                    <w:tl2br w:val="nil"/>
                    <w:tr2bl w:val="nil"/>
                  </w:tcBorders>
                  <w:vAlign w:val="center"/>
                </w:tcPr>
                <w:p w14:paraId="0D7241F5">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气相色谱仪GC9790II（编号：HAC-YQ-043）</w:t>
                  </w:r>
                </w:p>
              </w:tc>
              <w:tc>
                <w:tcPr>
                  <w:tcW w:w="761" w:type="pct"/>
                  <w:tcBorders>
                    <w:tl2br w:val="nil"/>
                    <w:tr2bl w:val="nil"/>
                  </w:tcBorders>
                  <w:vAlign w:val="center"/>
                </w:tcPr>
                <w:p w14:paraId="58348D82">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2027.08.04</w:t>
                  </w:r>
                </w:p>
              </w:tc>
              <w:tc>
                <w:tcPr>
                  <w:tcW w:w="687" w:type="pct"/>
                  <w:tcBorders>
                    <w:tl2br w:val="nil"/>
                    <w:tr2bl w:val="nil"/>
                  </w:tcBorders>
                  <w:vAlign w:val="center"/>
                </w:tcPr>
                <w:p w14:paraId="7D4F033A">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0.07mg/m</w:t>
                  </w:r>
                  <w:r>
                    <w:rPr>
                      <w:rFonts w:hint="default" w:ascii="Times New Roman" w:hAnsi="Times New Roman" w:eastAsia="宋体" w:cs="Times New Roman"/>
                      <w:color w:val="auto"/>
                      <w:sz w:val="21"/>
                      <w:szCs w:val="21"/>
                      <w:vertAlign w:val="superscript"/>
                    </w:rPr>
                    <w:t>3</w:t>
                  </w:r>
                </w:p>
              </w:tc>
              <w:tc>
                <w:tcPr>
                  <w:tcW w:w="1600" w:type="pct"/>
                  <w:tcBorders>
                    <w:tl2br w:val="nil"/>
                    <w:tr2bl w:val="nil"/>
                  </w:tcBorders>
                  <w:vAlign w:val="center"/>
                </w:tcPr>
                <w:p w14:paraId="0E9BB9F7">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固定污染源废气 总烃、甲烷和非甲烷总烃的测定 气相色谱法</w:t>
                  </w:r>
                </w:p>
                <w:p w14:paraId="2790EE64">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HJ 38-2017</w:t>
                  </w:r>
                </w:p>
              </w:tc>
            </w:tr>
            <w:tr w14:paraId="165B68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5"/>
                  <w:tcBorders>
                    <w:tl2br w:val="nil"/>
                    <w:tr2bl w:val="nil"/>
                  </w:tcBorders>
                  <w:vAlign w:val="center"/>
                </w:tcPr>
                <w:p w14:paraId="7313B3E6">
                  <w:pPr>
                    <w:keepNext w:val="0"/>
                    <w:keepLines w:val="0"/>
                    <w:pageBreakBefore w:val="0"/>
                    <w:widowControl/>
                    <w:tabs>
                      <w:tab w:val="left" w:pos="2544"/>
                    </w:tabs>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val="0"/>
                      <w:bCs/>
                      <w:color w:val="FF0000"/>
                      <w:sz w:val="21"/>
                      <w:szCs w:val="21"/>
                      <w:lang w:val="en-US" w:eastAsia="zh-CN"/>
                    </w:rPr>
                  </w:pPr>
                  <w:r>
                    <w:rPr>
                      <w:rFonts w:hint="default" w:ascii="Times New Roman" w:hAnsi="Times New Roman" w:eastAsia="宋体" w:cs="Times New Roman"/>
                      <w:b w:val="0"/>
                      <w:bCs/>
                      <w:color w:val="auto"/>
                      <w:sz w:val="21"/>
                      <w:szCs w:val="21"/>
                      <w:lang w:val="en-US" w:eastAsia="zh-CN"/>
                    </w:rPr>
                    <w:t>无组织废气</w:t>
                  </w:r>
                </w:p>
              </w:tc>
            </w:tr>
            <w:tr w14:paraId="4ECDA0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7" w:type="pct"/>
                  <w:tcBorders>
                    <w:tl2br w:val="nil"/>
                    <w:tr2bl w:val="nil"/>
                  </w:tcBorders>
                  <w:vAlign w:val="center"/>
                </w:tcPr>
                <w:p w14:paraId="0825372F">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甲醇</w:t>
                  </w:r>
                </w:p>
              </w:tc>
              <w:tc>
                <w:tcPr>
                  <w:tcW w:w="1313" w:type="pct"/>
                  <w:tcBorders>
                    <w:tl2br w:val="nil"/>
                    <w:tr2bl w:val="nil"/>
                  </w:tcBorders>
                  <w:vAlign w:val="center"/>
                </w:tcPr>
                <w:p w14:paraId="12BABDBF">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可见分光光度计</w:t>
                  </w:r>
                </w:p>
                <w:p w14:paraId="18F19920">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VIS-723N（编号SYA-013-02）</w:t>
                  </w:r>
                </w:p>
              </w:tc>
              <w:tc>
                <w:tcPr>
                  <w:tcW w:w="761" w:type="pct"/>
                  <w:tcBorders>
                    <w:tl2br w:val="nil"/>
                    <w:tr2bl w:val="nil"/>
                  </w:tcBorders>
                  <w:vAlign w:val="center"/>
                </w:tcPr>
                <w:p w14:paraId="16E8D410">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w:t>
                  </w:r>
                </w:p>
              </w:tc>
              <w:tc>
                <w:tcPr>
                  <w:tcW w:w="687" w:type="pct"/>
                  <w:tcBorders>
                    <w:tl2br w:val="nil"/>
                    <w:tr2bl w:val="nil"/>
                  </w:tcBorders>
                  <w:vAlign w:val="center"/>
                </w:tcPr>
                <w:p w14:paraId="171C07F1">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0.3</w:t>
                  </w:r>
                  <w:r>
                    <w:rPr>
                      <w:rFonts w:hint="default" w:ascii="Times New Roman" w:hAnsi="Times New Roman" w:eastAsia="宋体" w:cs="Times New Roman"/>
                      <w:color w:val="auto"/>
                      <w:sz w:val="21"/>
                      <w:szCs w:val="21"/>
                    </w:rPr>
                    <w:t xml:space="preserve"> mg/m</w:t>
                  </w:r>
                  <w:r>
                    <w:rPr>
                      <w:rFonts w:hint="default" w:ascii="Times New Roman" w:hAnsi="Times New Roman" w:eastAsia="宋体" w:cs="Times New Roman"/>
                      <w:color w:val="auto"/>
                      <w:sz w:val="21"/>
                      <w:szCs w:val="21"/>
                      <w:vertAlign w:val="superscript"/>
                    </w:rPr>
                    <w:t>3</w:t>
                  </w:r>
                </w:p>
              </w:tc>
              <w:tc>
                <w:tcPr>
                  <w:tcW w:w="1600" w:type="pct"/>
                  <w:tcBorders>
                    <w:tl2br w:val="nil"/>
                    <w:tr2bl w:val="nil"/>
                  </w:tcBorders>
                  <w:vAlign w:val="center"/>
                </w:tcPr>
                <w:p w14:paraId="2CD43A2C">
                  <w:pPr>
                    <w:keepNext w:val="0"/>
                    <w:keepLines w:val="0"/>
                    <w:pageBreakBefore w:val="0"/>
                    <w:widowControl/>
                    <w:kinsoku/>
                    <w:wordWrap/>
                    <w:overflowPunct/>
                    <w:topLinePunct w:val="0"/>
                    <w:autoSpaceDE/>
                    <w:autoSpaceDN/>
                    <w:bidi w:val="0"/>
                    <w:adjustRightInd w:val="0"/>
                    <w:snapToGrid w:val="0"/>
                    <w:spacing w:after="0" w:afterLines="0" w:line="240" w:lineRule="auto"/>
                    <w:jc w:val="both"/>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kern w:val="0"/>
                      <w:sz w:val="21"/>
                      <w:szCs w:val="21"/>
                      <w:lang w:val="en-US" w:eastAsia="zh-CN" w:bidi="ar"/>
                    </w:rPr>
                    <w:t>甲醇 变色酸比色法 《空气和废气监测分析方法》（第四版）国家 环境保护总局（2003年）</w:t>
                  </w:r>
                </w:p>
              </w:tc>
            </w:tr>
            <w:tr w14:paraId="2B0CEF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7" w:type="pct"/>
                  <w:tcBorders>
                    <w:tl2br w:val="nil"/>
                    <w:tr2bl w:val="nil"/>
                  </w:tcBorders>
                  <w:vAlign w:val="center"/>
                </w:tcPr>
                <w:p w14:paraId="6C1B0EF9">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rPr>
                    <w:t>非甲烷总烃</w:t>
                  </w:r>
                </w:p>
              </w:tc>
              <w:tc>
                <w:tcPr>
                  <w:tcW w:w="1313" w:type="pct"/>
                  <w:tcBorders>
                    <w:tl2br w:val="nil"/>
                    <w:tr2bl w:val="nil"/>
                  </w:tcBorders>
                  <w:vAlign w:val="center"/>
                </w:tcPr>
                <w:p w14:paraId="1CC1460F">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auto"/>
                      <w:sz w:val="21"/>
                      <w:szCs w:val="21"/>
                    </w:rPr>
                    <w:t>气相色谱仪GC9790II（编号：HAC-YQ-043）</w:t>
                  </w:r>
                </w:p>
              </w:tc>
              <w:tc>
                <w:tcPr>
                  <w:tcW w:w="761" w:type="pct"/>
                  <w:tcBorders>
                    <w:tl2br w:val="nil"/>
                    <w:tr2bl w:val="nil"/>
                  </w:tcBorders>
                  <w:vAlign w:val="center"/>
                </w:tcPr>
                <w:p w14:paraId="2032BF18">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auto"/>
                      <w:sz w:val="21"/>
                      <w:szCs w:val="21"/>
                    </w:rPr>
                    <w:t>2027.08.04</w:t>
                  </w:r>
                </w:p>
              </w:tc>
              <w:tc>
                <w:tcPr>
                  <w:tcW w:w="687" w:type="pct"/>
                  <w:tcBorders>
                    <w:tl2br w:val="nil"/>
                    <w:tr2bl w:val="nil"/>
                  </w:tcBorders>
                  <w:vAlign w:val="center"/>
                </w:tcPr>
                <w:p w14:paraId="617FFCF5">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auto"/>
                      <w:sz w:val="21"/>
                      <w:szCs w:val="21"/>
                    </w:rPr>
                    <w:t>0.07mg/m</w:t>
                  </w:r>
                  <w:r>
                    <w:rPr>
                      <w:rFonts w:hint="default" w:ascii="Times New Roman" w:hAnsi="Times New Roman" w:eastAsia="宋体" w:cs="Times New Roman"/>
                      <w:color w:val="auto"/>
                      <w:sz w:val="21"/>
                      <w:szCs w:val="21"/>
                      <w:vertAlign w:val="superscript"/>
                    </w:rPr>
                    <w:t>3</w:t>
                  </w:r>
                </w:p>
              </w:tc>
              <w:tc>
                <w:tcPr>
                  <w:tcW w:w="1600" w:type="pct"/>
                  <w:tcBorders>
                    <w:tl2br w:val="nil"/>
                    <w:tr2bl w:val="nil"/>
                  </w:tcBorders>
                  <w:vAlign w:val="center"/>
                </w:tcPr>
                <w:p w14:paraId="1C99C1A9">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固定污染源废气 总烃、甲烷和非甲烷总烃的测定 气相色谱法</w:t>
                  </w:r>
                </w:p>
                <w:p w14:paraId="4A1457BD">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auto"/>
                      <w:sz w:val="21"/>
                      <w:szCs w:val="21"/>
                    </w:rPr>
                    <w:t>HJ 38-2017</w:t>
                  </w:r>
                </w:p>
              </w:tc>
            </w:tr>
            <w:tr w14:paraId="5648A6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5"/>
                  <w:tcBorders>
                    <w:tl2br w:val="nil"/>
                    <w:tr2bl w:val="nil"/>
                  </w:tcBorders>
                  <w:vAlign w:val="center"/>
                </w:tcPr>
                <w:p w14:paraId="15D93BFF">
                  <w:pPr>
                    <w:keepNext w:val="0"/>
                    <w:keepLines w:val="0"/>
                    <w:pageBreakBefore w:val="0"/>
                    <w:widowControl/>
                    <w:tabs>
                      <w:tab w:val="left" w:pos="2544"/>
                    </w:tabs>
                    <w:kinsoku/>
                    <w:wordWrap/>
                    <w:overflowPunct/>
                    <w:topLinePunct w:val="0"/>
                    <w:autoSpaceDE/>
                    <w:autoSpaceDN/>
                    <w:bidi w:val="0"/>
                    <w:adjustRightInd w:val="0"/>
                    <w:snapToGrid w:val="0"/>
                    <w:spacing w:after="0" w:afterLines="0" w:line="240" w:lineRule="auto"/>
                    <w:ind w:firstLine="0" w:firstLineChars="0"/>
                    <w:jc w:val="center"/>
                    <w:textAlignment w:val="auto"/>
                    <w:rPr>
                      <w:rFonts w:hint="default" w:ascii="Times New Roman" w:hAnsi="Times New Roman" w:eastAsia="宋体" w:cs="Times New Roman"/>
                      <w:b w:val="0"/>
                      <w:bCs/>
                      <w:color w:val="FF0000"/>
                      <w:sz w:val="21"/>
                      <w:szCs w:val="21"/>
                      <w:lang w:val="en-US" w:eastAsia="zh-CN"/>
                    </w:rPr>
                  </w:pPr>
                  <w:r>
                    <w:rPr>
                      <w:rFonts w:hint="default" w:ascii="Times New Roman" w:hAnsi="Times New Roman" w:eastAsia="宋体" w:cs="Times New Roman"/>
                      <w:b w:val="0"/>
                      <w:bCs/>
                      <w:color w:val="auto"/>
                      <w:sz w:val="21"/>
                      <w:szCs w:val="21"/>
                      <w:lang w:val="en-US" w:eastAsia="zh-CN"/>
                    </w:rPr>
                    <w:t>噪声</w:t>
                  </w:r>
                </w:p>
              </w:tc>
            </w:tr>
            <w:tr w14:paraId="25AC1C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7" w:type="pct"/>
                  <w:tcBorders>
                    <w:tl2br w:val="nil"/>
                    <w:tr2bl w:val="nil"/>
                  </w:tcBorders>
                  <w:vAlign w:val="center"/>
                </w:tcPr>
                <w:p w14:paraId="6F8492B0">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厂界噪声</w:t>
                  </w:r>
                </w:p>
              </w:tc>
              <w:tc>
                <w:tcPr>
                  <w:tcW w:w="1313" w:type="pct"/>
                  <w:tcBorders>
                    <w:tl2br w:val="nil"/>
                    <w:tr2bl w:val="nil"/>
                  </w:tcBorders>
                  <w:vAlign w:val="center"/>
                </w:tcPr>
                <w:p w14:paraId="3F8F9788">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多功能声级计AWA5688</w:t>
                  </w:r>
                </w:p>
                <w:p w14:paraId="4B12604B">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（编号：HAC-YQ-070）</w:t>
                  </w:r>
                </w:p>
              </w:tc>
              <w:tc>
                <w:tcPr>
                  <w:tcW w:w="761" w:type="pct"/>
                  <w:tcBorders>
                    <w:tl2br w:val="nil"/>
                    <w:tr2bl w:val="nil"/>
                  </w:tcBorders>
                  <w:vAlign w:val="center"/>
                </w:tcPr>
                <w:p w14:paraId="0C532434">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202</w:t>
                  </w:r>
                  <w:r>
                    <w:rPr>
                      <w:rFonts w:hint="default"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rPr>
                    <w:t>.0</w:t>
                  </w:r>
                  <w:r>
                    <w:rPr>
                      <w:rFonts w:hint="default" w:ascii="Times New Roman" w:hAnsi="Times New Roman" w:eastAsia="宋体" w:cs="Times New Roman"/>
                      <w:color w:val="auto"/>
                      <w:sz w:val="21"/>
                      <w:szCs w:val="21"/>
                      <w:lang w:val="en-US" w:eastAsia="zh-CN"/>
                    </w:rPr>
                    <w:t>8.03</w:t>
                  </w:r>
                </w:p>
              </w:tc>
              <w:tc>
                <w:tcPr>
                  <w:tcW w:w="687" w:type="pct"/>
                  <w:tcBorders>
                    <w:tl2br w:val="nil"/>
                    <w:tr2bl w:val="nil"/>
                  </w:tcBorders>
                  <w:vAlign w:val="center"/>
                </w:tcPr>
                <w:p w14:paraId="3223E57A">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w:t>
                  </w:r>
                </w:p>
              </w:tc>
              <w:tc>
                <w:tcPr>
                  <w:tcW w:w="1600" w:type="pct"/>
                  <w:tcBorders>
                    <w:tl2br w:val="nil"/>
                    <w:tr2bl w:val="nil"/>
                  </w:tcBorders>
                  <w:vAlign w:val="center"/>
                </w:tcPr>
                <w:p w14:paraId="6BF21610">
                  <w:pPr>
                    <w:keepNext w:val="0"/>
                    <w:keepLines w:val="0"/>
                    <w:pageBreakBefore w:val="0"/>
                    <w:widowControl/>
                    <w:kinsoku/>
                    <w:wordWrap/>
                    <w:overflowPunct/>
                    <w:topLinePunct w:val="0"/>
                    <w:autoSpaceDE/>
                    <w:autoSpaceDN/>
                    <w:bidi w:val="0"/>
                    <w:adjustRightInd w:val="0"/>
                    <w:snapToGrid w:val="0"/>
                    <w:spacing w:after="0" w:afterLines="0" w:line="240" w:lineRule="auto"/>
                    <w:ind w:firstLine="21" w:firstLineChars="1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工业企业厂界环境噪声排放标准GB 12348-2008</w:t>
                  </w:r>
                </w:p>
              </w:tc>
            </w:tr>
          </w:tbl>
          <w:p w14:paraId="1351112D">
            <w:pPr>
              <w:keepNext w:val="0"/>
              <w:keepLines w:val="0"/>
              <w:pageBreakBefore w:val="0"/>
              <w:widowControl/>
              <w:kinsoku/>
              <w:wordWrap/>
              <w:overflowPunct/>
              <w:topLinePunct w:val="0"/>
              <w:autoSpaceDE/>
              <w:autoSpaceDN/>
              <w:bidi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2、质控措施落实情况</w:t>
            </w:r>
          </w:p>
          <w:p w14:paraId="34565643">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lang w:val="en-US" w:eastAsia="zh-CN"/>
              </w:rPr>
              <w:t>检验检测机构所有人员持证上岗，所有仪器在有效期内</w:t>
            </w:r>
            <w:r>
              <w:rPr>
                <w:rFonts w:hint="default" w:ascii="Times New Roman" w:hAnsi="Times New Roman" w:eastAsia="宋体" w:cs="Times New Roman"/>
                <w:color w:val="auto"/>
                <w:sz w:val="24"/>
                <w:szCs w:val="24"/>
                <w:lang w:val="en-US" w:eastAsia="zh-CN"/>
              </w:rPr>
              <w:t>；</w:t>
            </w:r>
          </w:p>
          <w:p w14:paraId="3CDB6F92">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）监测过程中工况负荷满足有关要求；</w:t>
            </w:r>
          </w:p>
          <w:p w14:paraId="440AF9F4">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）监测点位布设合理，保证各监测点位的科学性和可比性；</w:t>
            </w:r>
          </w:p>
          <w:p w14:paraId="2A7593B9">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eastAsia="zh-CN"/>
              </w:rPr>
              <w:t>）监测分析方法采用国家有关部门颁发的标准分析方法；</w:t>
            </w:r>
          </w:p>
          <w:p w14:paraId="10618E0B">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）有组织废气、无组织废气现场监测和实验室监测检定合格，并按照国家环保局发布的《固定污染源监测质量保证与质量控制技术规范（试行）》、</w:t>
            </w:r>
            <w:r>
              <w:rPr>
                <w:rFonts w:hint="default" w:ascii="Times New Roman" w:hAnsi="Times New Roman" w:eastAsia="宋体" w:cs="Times New Roman"/>
                <w:color w:val="auto"/>
                <w:sz w:val="24"/>
                <w:szCs w:val="24"/>
                <w:highlight w:val="none"/>
                <w:lang w:val="en-US" w:eastAsia="zh-CN"/>
              </w:rPr>
              <w:t>《固定源废气监测技术规范》（HJ/T397-2007）、《大气污染物无组织排放监测技术导则》（HJ/T55-2000）</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lang w:val="en-US" w:eastAsia="zh-CN"/>
              </w:rPr>
              <w:t>《环境监测质量管理技术导则》的要求进行全过程质量控制</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废水样品的采集、保存、分析按照《污水监测技术规范》HJ91.1-2019中要求进行</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声级计测量前后均进行了校准；</w:t>
            </w:r>
          </w:p>
          <w:p w14:paraId="4BF4C3C0">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）在监测期间，样品采集、运输、保存按照国家标准，保证验收监测分析结果的准确可靠；</w:t>
            </w:r>
          </w:p>
          <w:p w14:paraId="2EF8A40D">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eastAsia="仿宋_GB2312"/>
                <w:color w:val="FF0000"/>
                <w:szCs w:val="21"/>
              </w:rPr>
            </w:pP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lang w:val="en-US" w:eastAsia="zh-CN"/>
              </w:rPr>
              <w:t>）为确保实验室分析质量，对化验室分析进行发放盲样质控样品的质控措施；监测数据严格实行三级审核制度，经过校对、校核，最后由技术负责人审定。</w:t>
            </w:r>
          </w:p>
          <w:p w14:paraId="159DCEF2">
            <w:pPr>
              <w:pStyle w:val="28"/>
              <w:spacing w:before="62" w:beforeLines="20" w:line="360" w:lineRule="auto"/>
              <w:ind w:left="360" w:firstLine="0" w:firstLineChars="0"/>
              <w:rPr>
                <w:rFonts w:eastAsia="仿宋_GB2312"/>
                <w:color w:val="FF0000"/>
                <w:szCs w:val="21"/>
              </w:rPr>
            </w:pPr>
          </w:p>
          <w:p w14:paraId="0356994D">
            <w:pPr>
              <w:pStyle w:val="28"/>
              <w:spacing w:before="62" w:beforeLines="20" w:line="360" w:lineRule="auto"/>
              <w:ind w:left="360" w:firstLine="0" w:firstLineChars="0"/>
              <w:rPr>
                <w:rFonts w:eastAsia="仿宋_GB2312"/>
                <w:color w:val="FF0000"/>
                <w:szCs w:val="21"/>
              </w:rPr>
            </w:pPr>
          </w:p>
          <w:p w14:paraId="2D252039">
            <w:pPr>
              <w:pStyle w:val="28"/>
              <w:spacing w:before="62" w:beforeLines="20" w:line="360" w:lineRule="auto"/>
              <w:ind w:left="360" w:firstLine="0" w:firstLineChars="0"/>
              <w:rPr>
                <w:rFonts w:eastAsia="仿宋_GB2312"/>
                <w:color w:val="FF0000"/>
                <w:szCs w:val="21"/>
              </w:rPr>
            </w:pPr>
          </w:p>
          <w:p w14:paraId="75A49EF8">
            <w:pPr>
              <w:pStyle w:val="28"/>
              <w:spacing w:before="62" w:beforeLines="20" w:line="360" w:lineRule="auto"/>
              <w:ind w:left="360" w:firstLine="0" w:firstLineChars="0"/>
              <w:rPr>
                <w:rFonts w:eastAsia="仿宋_GB2312"/>
                <w:color w:val="FF0000"/>
                <w:szCs w:val="21"/>
              </w:rPr>
            </w:pPr>
          </w:p>
          <w:p w14:paraId="281576FF">
            <w:pPr>
              <w:pStyle w:val="28"/>
              <w:spacing w:before="62" w:beforeLines="20" w:line="360" w:lineRule="auto"/>
              <w:ind w:left="360" w:firstLine="0" w:firstLineChars="0"/>
              <w:rPr>
                <w:rFonts w:eastAsia="仿宋_GB2312"/>
                <w:color w:val="FF0000"/>
                <w:szCs w:val="21"/>
              </w:rPr>
            </w:pPr>
          </w:p>
          <w:p w14:paraId="6A07ECF3">
            <w:pPr>
              <w:pStyle w:val="28"/>
              <w:spacing w:before="62" w:beforeLines="20" w:line="360" w:lineRule="auto"/>
              <w:ind w:left="360" w:firstLine="0" w:firstLineChars="0"/>
              <w:rPr>
                <w:rFonts w:eastAsia="仿宋_GB2312"/>
                <w:color w:val="FF0000"/>
                <w:szCs w:val="21"/>
              </w:rPr>
            </w:pPr>
          </w:p>
          <w:p w14:paraId="41B1416D">
            <w:pPr>
              <w:pStyle w:val="28"/>
              <w:spacing w:before="62" w:beforeLines="20" w:line="360" w:lineRule="auto"/>
              <w:ind w:left="360" w:firstLine="0" w:firstLineChars="0"/>
              <w:rPr>
                <w:rFonts w:eastAsia="仿宋_GB2312"/>
                <w:color w:val="FF0000"/>
                <w:szCs w:val="21"/>
              </w:rPr>
            </w:pPr>
          </w:p>
          <w:p w14:paraId="2262BAE2">
            <w:pPr>
              <w:pStyle w:val="28"/>
              <w:spacing w:before="62" w:beforeLines="20" w:line="360" w:lineRule="auto"/>
              <w:ind w:left="360" w:firstLine="0" w:firstLineChars="0"/>
              <w:rPr>
                <w:rFonts w:eastAsia="仿宋_GB2312"/>
                <w:color w:val="FF0000"/>
                <w:szCs w:val="21"/>
              </w:rPr>
            </w:pPr>
          </w:p>
          <w:p w14:paraId="3B1C4E0B">
            <w:pPr>
              <w:pStyle w:val="28"/>
              <w:spacing w:before="62" w:beforeLines="20" w:line="360" w:lineRule="auto"/>
              <w:ind w:left="360" w:firstLine="0" w:firstLineChars="0"/>
              <w:rPr>
                <w:rFonts w:eastAsia="仿宋_GB2312"/>
                <w:color w:val="FF0000"/>
                <w:szCs w:val="21"/>
              </w:rPr>
            </w:pPr>
          </w:p>
          <w:p w14:paraId="6D97B896">
            <w:pPr>
              <w:pStyle w:val="28"/>
              <w:spacing w:before="62" w:beforeLines="20" w:line="360" w:lineRule="auto"/>
              <w:ind w:left="360" w:firstLine="0" w:firstLineChars="0"/>
              <w:rPr>
                <w:rFonts w:eastAsia="仿宋_GB2312"/>
                <w:color w:val="FF0000"/>
                <w:szCs w:val="21"/>
              </w:rPr>
            </w:pPr>
          </w:p>
          <w:p w14:paraId="042774E7">
            <w:pPr>
              <w:pStyle w:val="28"/>
              <w:spacing w:before="62" w:beforeLines="20" w:line="360" w:lineRule="auto"/>
              <w:ind w:left="360" w:firstLine="0" w:firstLineChars="0"/>
              <w:rPr>
                <w:rFonts w:eastAsia="仿宋_GB2312"/>
                <w:color w:val="FF0000"/>
                <w:szCs w:val="21"/>
              </w:rPr>
            </w:pPr>
          </w:p>
          <w:p w14:paraId="072BBF51">
            <w:pPr>
              <w:pStyle w:val="28"/>
              <w:spacing w:before="62" w:beforeLines="20" w:line="360" w:lineRule="auto"/>
              <w:ind w:left="360" w:firstLine="0" w:firstLineChars="0"/>
              <w:rPr>
                <w:rFonts w:eastAsia="仿宋_GB2312"/>
                <w:color w:val="FF0000"/>
                <w:szCs w:val="21"/>
              </w:rPr>
            </w:pPr>
          </w:p>
          <w:p w14:paraId="77DF2DBD">
            <w:pPr>
              <w:pStyle w:val="28"/>
              <w:spacing w:before="62" w:beforeLines="20" w:line="360" w:lineRule="auto"/>
              <w:ind w:left="360" w:firstLine="0" w:firstLineChars="0"/>
              <w:rPr>
                <w:rFonts w:eastAsia="仿宋_GB2312"/>
                <w:color w:val="FF0000"/>
                <w:szCs w:val="21"/>
              </w:rPr>
            </w:pPr>
          </w:p>
          <w:p w14:paraId="6A4C51D8">
            <w:pPr>
              <w:pStyle w:val="28"/>
              <w:spacing w:before="62" w:beforeLines="20" w:line="360" w:lineRule="auto"/>
              <w:ind w:left="0" w:leftChars="0" w:firstLine="0" w:firstLineChars="0"/>
              <w:rPr>
                <w:rFonts w:eastAsia="仿宋_GB2312"/>
                <w:color w:val="FF0000"/>
                <w:szCs w:val="21"/>
              </w:rPr>
            </w:pPr>
          </w:p>
        </w:tc>
      </w:tr>
    </w:tbl>
    <w:p w14:paraId="0E984554">
      <w:pPr>
        <w:spacing w:line="360" w:lineRule="auto"/>
        <w:rPr>
          <w:rFonts w:eastAsia="仿宋_GB2312"/>
          <w:color w:val="FF0000"/>
          <w:sz w:val="21"/>
          <w:szCs w:val="21"/>
        </w:rPr>
        <w:sectPr>
          <w:pgSz w:w="11906" w:h="16838"/>
          <w:pgMar w:top="1440" w:right="1800" w:bottom="1440" w:left="1800" w:header="708" w:footer="708" w:gutter="0"/>
          <w:pgBorders>
            <w:top w:val="none" w:sz="0" w:space="0"/>
            <w:left w:val="none" w:sz="0" w:space="0"/>
            <w:bottom w:val="none" w:sz="0" w:space="0"/>
            <w:right w:val="none" w:sz="0" w:space="0"/>
          </w:pgBorders>
          <w:pgNumType w:fmt="decimal"/>
          <w:cols w:space="720" w:num="1"/>
          <w:docGrid w:linePitch="360" w:charSpace="0"/>
        </w:sectPr>
      </w:pPr>
    </w:p>
    <w:p w14:paraId="4F9602B7">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eastAsia" w:ascii="Times New Roman" w:hAnsi="Times New Roman" w:eastAsia="宋体" w:cs="Times New Roman"/>
          <w:b/>
          <w:color w:val="auto"/>
          <w:sz w:val="24"/>
          <w:szCs w:val="24"/>
        </w:rPr>
      </w:pPr>
      <w:bookmarkStart w:id="22" w:name="_Toc7647"/>
      <w:r>
        <w:rPr>
          <w:rFonts w:hint="default" w:ascii="Times New Roman" w:hAnsi="Times New Roman" w:eastAsia="宋体" w:cs="Times New Roman"/>
          <w:b/>
          <w:color w:val="auto"/>
          <w:sz w:val="24"/>
          <w:szCs w:val="24"/>
        </w:rPr>
        <w:t>表</w:t>
      </w:r>
      <w:r>
        <w:rPr>
          <w:rFonts w:hint="eastAsia" w:ascii="Times New Roman" w:hAnsi="Times New Roman" w:eastAsia="宋体" w:cs="Times New Roman"/>
          <w:b/>
          <w:color w:val="auto"/>
          <w:sz w:val="24"/>
          <w:szCs w:val="24"/>
        </w:rPr>
        <w:t>六</w:t>
      </w:r>
      <w:r>
        <w:rPr>
          <w:rFonts w:hint="eastAsia" w:ascii="Times New Roman" w:hAnsi="Times New Roman" w:eastAsia="宋体" w:cs="Times New Roman"/>
          <w:b/>
          <w:color w:val="auto"/>
          <w:sz w:val="24"/>
          <w:szCs w:val="24"/>
          <w:lang w:val="en-US" w:eastAsia="zh-CN"/>
        </w:rPr>
        <w:t xml:space="preserve">  </w:t>
      </w:r>
      <w:r>
        <w:rPr>
          <w:rFonts w:hint="eastAsia" w:ascii="Times New Roman" w:hAnsi="Times New Roman" w:eastAsia="宋体" w:cs="Times New Roman"/>
          <w:b/>
          <w:color w:val="auto"/>
          <w:sz w:val="24"/>
          <w:szCs w:val="24"/>
        </w:rPr>
        <w:t>验收监测内容</w:t>
      </w:r>
      <w:bookmarkEnd w:id="22"/>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Layout w:type="fixed"/>
        <w:tblCellMar>
          <w:top w:w="0" w:type="dxa"/>
          <w:left w:w="108" w:type="dxa"/>
          <w:bottom w:w="0" w:type="dxa"/>
          <w:right w:w="108" w:type="dxa"/>
        </w:tblCellMar>
      </w:tblPr>
      <w:tblGrid>
        <w:gridCol w:w="8924"/>
      </w:tblGrid>
      <w:tr w14:paraId="5D7A0A30">
        <w:tblPrEx>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CellMar>
            <w:top w:w="0" w:type="dxa"/>
            <w:left w:w="108" w:type="dxa"/>
            <w:bottom w:w="0" w:type="dxa"/>
            <w:right w:w="108" w:type="dxa"/>
          </w:tblCellMar>
        </w:tblPrEx>
        <w:trPr>
          <w:trHeight w:val="11450" w:hRule="atLeast"/>
          <w:jc w:val="center"/>
        </w:trPr>
        <w:tc>
          <w:tcPr>
            <w:tcW w:w="8924" w:type="dxa"/>
            <w:tcBorders>
              <w:tl2br w:val="nil"/>
              <w:tr2bl w:val="nil"/>
            </w:tcBorders>
            <w:noWrap w:val="0"/>
            <w:vAlign w:val="top"/>
          </w:tcPr>
          <w:p w14:paraId="5154D520">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1、废气监测内容</w:t>
            </w:r>
          </w:p>
          <w:p w14:paraId="115648A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bCs/>
                <w:color w:val="auto"/>
                <w:sz w:val="21"/>
                <w:szCs w:val="21"/>
                <w:lang w:val="en-US" w:eastAsia="zh-CN"/>
              </w:rPr>
              <w:t>表6-1 废气监测点位及频次</w:t>
            </w:r>
          </w:p>
          <w:tbl>
            <w:tblPr>
              <w:tblStyle w:val="19"/>
              <w:tblW w:w="8722"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50" w:type="dxa"/>
                <w:left w:w="107" w:type="dxa"/>
                <w:bottom w:w="0" w:type="dxa"/>
                <w:right w:w="111" w:type="dxa"/>
              </w:tblCellMar>
            </w:tblPr>
            <w:tblGrid>
              <w:gridCol w:w="1273"/>
              <w:gridCol w:w="2031"/>
              <w:gridCol w:w="1569"/>
              <w:gridCol w:w="2363"/>
              <w:gridCol w:w="1486"/>
            </w:tblGrid>
            <w:tr w14:paraId="472D93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0" w:type="dxa"/>
                  <w:left w:w="107" w:type="dxa"/>
                  <w:bottom w:w="0" w:type="dxa"/>
                  <w:right w:w="111" w:type="dxa"/>
                </w:tblCellMar>
              </w:tblPrEx>
              <w:trPr>
                <w:trHeight w:val="23" w:hRule="atLeast"/>
              </w:trPr>
              <w:tc>
                <w:tcPr>
                  <w:tcW w:w="729" w:type="pct"/>
                  <w:tcBorders>
                    <w:tl2br w:val="nil"/>
                    <w:tr2bl w:val="nil"/>
                  </w:tcBorders>
                  <w:vAlign w:val="center"/>
                </w:tcPr>
                <w:p w14:paraId="3FE9BFC1">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lang w:val="en-US" w:eastAsia="zh-CN"/>
                    </w:rPr>
                    <w:t>监测</w:t>
                  </w:r>
                  <w:r>
                    <w:rPr>
                      <w:rFonts w:hint="default" w:ascii="Times New Roman" w:hAnsi="Times New Roman" w:eastAsia="宋体" w:cs="Times New Roman"/>
                      <w:b/>
                      <w:bCs/>
                      <w:color w:val="auto"/>
                      <w:sz w:val="21"/>
                      <w:szCs w:val="21"/>
                    </w:rPr>
                    <w:t>类别</w:t>
                  </w:r>
                </w:p>
              </w:tc>
              <w:tc>
                <w:tcPr>
                  <w:tcW w:w="1164" w:type="pct"/>
                  <w:tcBorders>
                    <w:tl2br w:val="nil"/>
                    <w:tr2bl w:val="nil"/>
                  </w:tcBorders>
                  <w:vAlign w:val="center"/>
                </w:tcPr>
                <w:p w14:paraId="74B1137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监测点位</w:t>
                  </w:r>
                </w:p>
              </w:tc>
              <w:tc>
                <w:tcPr>
                  <w:tcW w:w="899" w:type="pct"/>
                  <w:tcBorders>
                    <w:tl2br w:val="nil"/>
                    <w:tr2bl w:val="nil"/>
                  </w:tcBorders>
                  <w:vAlign w:val="center"/>
                </w:tcPr>
                <w:p w14:paraId="14B9611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监测因子</w:t>
                  </w:r>
                </w:p>
              </w:tc>
              <w:tc>
                <w:tcPr>
                  <w:tcW w:w="1354" w:type="pct"/>
                  <w:tcBorders>
                    <w:tl2br w:val="nil"/>
                    <w:tr2bl w:val="nil"/>
                  </w:tcBorders>
                  <w:vAlign w:val="center"/>
                </w:tcPr>
                <w:p w14:paraId="4C286F5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监测频次及周期</w:t>
                  </w:r>
                </w:p>
              </w:tc>
              <w:tc>
                <w:tcPr>
                  <w:tcW w:w="851" w:type="pct"/>
                  <w:tcBorders>
                    <w:tl2br w:val="nil"/>
                    <w:tr2bl w:val="nil"/>
                  </w:tcBorders>
                  <w:vAlign w:val="center"/>
                </w:tcPr>
                <w:p w14:paraId="66E6530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备注</w:t>
                  </w:r>
                </w:p>
              </w:tc>
            </w:tr>
            <w:tr w14:paraId="4D50A5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0" w:type="dxa"/>
                  <w:left w:w="107" w:type="dxa"/>
                  <w:bottom w:w="0" w:type="dxa"/>
                  <w:right w:w="111" w:type="dxa"/>
                </w:tblCellMar>
              </w:tblPrEx>
              <w:trPr>
                <w:trHeight w:val="23" w:hRule="atLeast"/>
              </w:trPr>
              <w:tc>
                <w:tcPr>
                  <w:tcW w:w="729" w:type="pct"/>
                  <w:tcBorders>
                    <w:tl2br w:val="nil"/>
                    <w:tr2bl w:val="nil"/>
                  </w:tcBorders>
                  <w:vAlign w:val="center"/>
                </w:tcPr>
                <w:p w14:paraId="2120DCF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sz w:val="21"/>
                      <w:szCs w:val="21"/>
                      <w:lang w:eastAsia="zh-CN"/>
                    </w:rPr>
                  </w:pPr>
                  <w:r>
                    <w:rPr>
                      <w:rFonts w:hint="eastAsia" w:ascii="Times New Roman" w:hAnsi="Times New Roman" w:eastAsia="宋体" w:cs="Times New Roman"/>
                      <w:b w:val="0"/>
                      <w:bCs w:val="0"/>
                      <w:color w:val="auto"/>
                      <w:sz w:val="21"/>
                      <w:szCs w:val="21"/>
                      <w:lang w:val="en-US" w:eastAsia="zh-CN"/>
                    </w:rPr>
                    <w:t>有</w:t>
                  </w:r>
                  <w:r>
                    <w:rPr>
                      <w:rFonts w:hint="default" w:ascii="Times New Roman" w:hAnsi="Times New Roman" w:eastAsia="宋体" w:cs="Times New Roman"/>
                      <w:b w:val="0"/>
                      <w:bCs w:val="0"/>
                      <w:color w:val="auto"/>
                      <w:sz w:val="21"/>
                      <w:szCs w:val="21"/>
                    </w:rPr>
                    <w:t>组织废气</w:t>
                  </w:r>
                </w:p>
              </w:tc>
              <w:tc>
                <w:tcPr>
                  <w:tcW w:w="1164" w:type="pct"/>
                  <w:tcBorders>
                    <w:tl2br w:val="nil"/>
                    <w:tr2bl w:val="nil"/>
                  </w:tcBorders>
                  <w:vAlign w:val="center"/>
                </w:tcPr>
                <w:p w14:paraId="5AE7E07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z w:val="21"/>
                      <w:szCs w:val="21"/>
                      <w:lang w:eastAsia="zh-CN"/>
                    </w:rPr>
                    <w:t>配胶、涂布、印刷、及烘干废气</w:t>
                  </w:r>
                  <w:r>
                    <w:rPr>
                      <w:rFonts w:hint="eastAsia" w:ascii="Times New Roman" w:hAnsi="Times New Roman" w:eastAsia="宋体" w:cs="Times New Roman"/>
                      <w:b w:val="0"/>
                      <w:bCs w:val="0"/>
                      <w:color w:val="auto"/>
                      <w:sz w:val="21"/>
                      <w:szCs w:val="21"/>
                      <w:lang w:val="en-US" w:eastAsia="zh-CN"/>
                    </w:rPr>
                    <w:t>处理设施出口</w:t>
                  </w:r>
                  <w:r>
                    <w:rPr>
                      <w:rFonts w:hint="default" w:ascii="Times New Roman" w:hAnsi="Times New Roman" w:eastAsia="宋体" w:cs="Times New Roman"/>
                      <w:b w:val="0"/>
                      <w:bCs w:val="0"/>
                      <w:color w:val="auto"/>
                      <w:sz w:val="21"/>
                      <w:szCs w:val="21"/>
                      <w:lang w:eastAsia="zh-CN"/>
                    </w:rPr>
                    <w:t>（DA001）</w:t>
                  </w:r>
                </w:p>
              </w:tc>
              <w:tc>
                <w:tcPr>
                  <w:tcW w:w="899" w:type="pct"/>
                  <w:tcBorders>
                    <w:tl2br w:val="nil"/>
                    <w:tr2bl w:val="nil"/>
                  </w:tcBorders>
                  <w:vAlign w:val="center"/>
                </w:tcPr>
                <w:p w14:paraId="285563B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非甲烷总烃</w:t>
                  </w:r>
                  <w:r>
                    <w:rPr>
                      <w:rFonts w:hint="eastAsia" w:ascii="Times New Roman" w:hAnsi="Times New Roman" w:eastAsia="宋体" w:cs="Times New Roman"/>
                      <w:color w:val="auto"/>
                      <w:sz w:val="21"/>
                      <w:szCs w:val="21"/>
                      <w:lang w:val="en-US" w:eastAsia="zh-CN"/>
                    </w:rPr>
                    <w:t>、甲醇、</w:t>
                  </w:r>
                </w:p>
              </w:tc>
              <w:tc>
                <w:tcPr>
                  <w:tcW w:w="1354" w:type="pct"/>
                  <w:tcBorders>
                    <w:tl2br w:val="nil"/>
                    <w:tr2bl w:val="nil"/>
                  </w:tcBorders>
                  <w:vAlign w:val="center"/>
                </w:tcPr>
                <w:p w14:paraId="1BA1F6C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3次/天，</w:t>
                  </w:r>
                  <w:r>
                    <w:rPr>
                      <w:rFonts w:hint="default" w:ascii="Times New Roman" w:hAnsi="Times New Roman" w:eastAsia="宋体" w:cs="Times New Roman"/>
                      <w:color w:val="auto"/>
                      <w:sz w:val="21"/>
                      <w:szCs w:val="21"/>
                    </w:rPr>
                    <w:t>连续监测2天</w:t>
                  </w:r>
                </w:p>
              </w:tc>
              <w:tc>
                <w:tcPr>
                  <w:tcW w:w="851" w:type="pct"/>
                  <w:tcBorders>
                    <w:tl2br w:val="nil"/>
                    <w:tr2bl w:val="nil"/>
                  </w:tcBorders>
                  <w:vAlign w:val="center"/>
                </w:tcPr>
                <w:p w14:paraId="537B3E4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前端无检测条件，后端采样检测</w:t>
                  </w:r>
                </w:p>
              </w:tc>
            </w:tr>
            <w:tr w14:paraId="3F7EF6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0" w:type="dxa"/>
                  <w:left w:w="107" w:type="dxa"/>
                  <w:bottom w:w="0" w:type="dxa"/>
                  <w:right w:w="111" w:type="dxa"/>
                </w:tblCellMar>
              </w:tblPrEx>
              <w:trPr>
                <w:trHeight w:val="397" w:hRule="atLeast"/>
              </w:trPr>
              <w:tc>
                <w:tcPr>
                  <w:tcW w:w="729" w:type="pct"/>
                  <w:vMerge w:val="restart"/>
                  <w:tcBorders>
                    <w:tl2br w:val="nil"/>
                    <w:tr2bl w:val="nil"/>
                  </w:tcBorders>
                  <w:vAlign w:val="center"/>
                </w:tcPr>
                <w:p w14:paraId="32D402E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无组织废气</w:t>
                  </w:r>
                </w:p>
              </w:tc>
              <w:tc>
                <w:tcPr>
                  <w:tcW w:w="1164" w:type="pct"/>
                  <w:tcBorders>
                    <w:tl2br w:val="nil"/>
                    <w:tr2bl w:val="nil"/>
                  </w:tcBorders>
                  <w:vAlign w:val="center"/>
                </w:tcPr>
                <w:p w14:paraId="56FD2D4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厂区内</w:t>
                  </w:r>
                </w:p>
              </w:tc>
              <w:tc>
                <w:tcPr>
                  <w:tcW w:w="899" w:type="pct"/>
                  <w:tcBorders>
                    <w:tl2br w:val="nil"/>
                    <w:tr2bl w:val="nil"/>
                  </w:tcBorders>
                  <w:vAlign w:val="center"/>
                </w:tcPr>
                <w:p w14:paraId="7CEBE88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非甲烷总烃</w:t>
                  </w:r>
                </w:p>
              </w:tc>
              <w:tc>
                <w:tcPr>
                  <w:tcW w:w="1354" w:type="pct"/>
                  <w:tcBorders>
                    <w:tl2br w:val="nil"/>
                    <w:tr2bl w:val="nil"/>
                  </w:tcBorders>
                  <w:vAlign w:val="center"/>
                </w:tcPr>
                <w:p w14:paraId="2D2C9DD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次/天，连续监测2天</w:t>
                  </w:r>
                </w:p>
              </w:tc>
              <w:tc>
                <w:tcPr>
                  <w:tcW w:w="851" w:type="pct"/>
                  <w:tcBorders>
                    <w:tl2br w:val="nil"/>
                    <w:tr2bl w:val="nil"/>
                  </w:tcBorders>
                  <w:vAlign w:val="center"/>
                </w:tcPr>
                <w:p w14:paraId="4BC94C7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1EC45B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0" w:type="dxa"/>
                  <w:left w:w="107" w:type="dxa"/>
                  <w:bottom w:w="0" w:type="dxa"/>
                  <w:right w:w="111" w:type="dxa"/>
                </w:tblCellMar>
              </w:tblPrEx>
              <w:trPr>
                <w:trHeight w:val="23" w:hRule="atLeast"/>
              </w:trPr>
              <w:tc>
                <w:tcPr>
                  <w:tcW w:w="729" w:type="pct"/>
                  <w:vMerge w:val="continue"/>
                  <w:tcBorders>
                    <w:tl2br w:val="nil"/>
                    <w:tr2bl w:val="nil"/>
                  </w:tcBorders>
                  <w:vAlign w:val="center"/>
                </w:tcPr>
                <w:p w14:paraId="0B14BFE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rPr>
                  </w:pPr>
                </w:p>
              </w:tc>
              <w:tc>
                <w:tcPr>
                  <w:tcW w:w="1164" w:type="pct"/>
                  <w:tcBorders>
                    <w:tl2br w:val="nil"/>
                    <w:tr2bl w:val="nil"/>
                  </w:tcBorders>
                  <w:vAlign w:val="center"/>
                </w:tcPr>
                <w:p w14:paraId="2A8F793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Style w:val="21"/>
                      <w:rFonts w:hint="default" w:ascii="Times New Roman" w:hAnsi="Times New Roman" w:eastAsia="宋体" w:cs="Times New Roman"/>
                      <w:color w:val="auto"/>
                      <w:kern w:val="2"/>
                      <w:sz w:val="21"/>
                      <w:szCs w:val="21"/>
                      <w:lang w:val="en-US" w:eastAsia="zh-CN" w:bidi="ar-SA"/>
                    </w:rPr>
                    <w:t>厂界（上风向1个点位、下风向3个点位）</w:t>
                  </w:r>
                </w:p>
              </w:tc>
              <w:tc>
                <w:tcPr>
                  <w:tcW w:w="899" w:type="pct"/>
                  <w:tcBorders>
                    <w:tl2br w:val="nil"/>
                    <w:tr2bl w:val="nil"/>
                  </w:tcBorders>
                  <w:vAlign w:val="center"/>
                </w:tcPr>
                <w:p w14:paraId="188E06F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非甲烷总烃</w:t>
                  </w:r>
                  <w:r>
                    <w:rPr>
                      <w:rFonts w:hint="eastAsia" w:ascii="Times New Roman" w:hAnsi="Times New Roman" w:eastAsia="宋体" w:cs="Times New Roman"/>
                      <w:color w:val="auto"/>
                      <w:sz w:val="21"/>
                      <w:szCs w:val="21"/>
                      <w:lang w:val="en-US" w:eastAsia="zh-CN"/>
                    </w:rPr>
                    <w:t>、甲醇、</w:t>
                  </w:r>
                </w:p>
              </w:tc>
              <w:tc>
                <w:tcPr>
                  <w:tcW w:w="1354" w:type="pct"/>
                  <w:tcBorders>
                    <w:tl2br w:val="nil"/>
                    <w:tr2bl w:val="nil"/>
                  </w:tcBorders>
                  <w:vAlign w:val="center"/>
                </w:tcPr>
                <w:p w14:paraId="483D635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次/天，连续监测2天</w:t>
                  </w:r>
                </w:p>
              </w:tc>
              <w:tc>
                <w:tcPr>
                  <w:tcW w:w="851" w:type="pct"/>
                  <w:tcBorders>
                    <w:tl2br w:val="nil"/>
                    <w:tr2bl w:val="nil"/>
                  </w:tcBorders>
                  <w:vAlign w:val="center"/>
                </w:tcPr>
                <w:p w14:paraId="5944D44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bl>
          <w:p w14:paraId="7A97E41A">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eastAsia"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2、</w:t>
            </w:r>
            <w:r>
              <w:rPr>
                <w:rFonts w:hint="eastAsia" w:ascii="Times New Roman" w:hAnsi="Times New Roman" w:eastAsia="宋体" w:cs="Times New Roman"/>
                <w:b/>
                <w:bCs/>
                <w:color w:val="auto"/>
                <w:sz w:val="24"/>
                <w:szCs w:val="24"/>
              </w:rPr>
              <w:t>废水监测内容</w:t>
            </w:r>
          </w:p>
          <w:p w14:paraId="6BC75BD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表6-2 废水监测内容表</w:t>
            </w:r>
          </w:p>
          <w:tbl>
            <w:tblPr>
              <w:tblStyle w:val="19"/>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56" w:type="dxa"/>
                <w:left w:w="107" w:type="dxa"/>
                <w:bottom w:w="0" w:type="dxa"/>
                <w:right w:w="110" w:type="dxa"/>
              </w:tblCellMar>
            </w:tblPr>
            <w:tblGrid>
              <w:gridCol w:w="1910"/>
              <w:gridCol w:w="4550"/>
              <w:gridCol w:w="2248"/>
            </w:tblGrid>
            <w:tr w14:paraId="54E19E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6" w:type="dxa"/>
                  <w:left w:w="107" w:type="dxa"/>
                  <w:bottom w:w="0" w:type="dxa"/>
                  <w:right w:w="110" w:type="dxa"/>
                </w:tblCellMar>
              </w:tblPrEx>
              <w:trPr>
                <w:trHeight w:val="20" w:hRule="atLeast"/>
              </w:trPr>
              <w:tc>
                <w:tcPr>
                  <w:tcW w:w="1096" w:type="pct"/>
                  <w:tcBorders>
                    <w:tl2br w:val="nil"/>
                    <w:tr2bl w:val="nil"/>
                  </w:tcBorders>
                  <w:vAlign w:val="center"/>
                </w:tcPr>
                <w:p w14:paraId="17501A2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监测点位</w:t>
                  </w:r>
                </w:p>
              </w:tc>
              <w:tc>
                <w:tcPr>
                  <w:tcW w:w="2612" w:type="pct"/>
                  <w:tcBorders>
                    <w:tl2br w:val="nil"/>
                    <w:tr2bl w:val="nil"/>
                  </w:tcBorders>
                  <w:vAlign w:val="center"/>
                </w:tcPr>
                <w:p w14:paraId="14BE6FE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监测因子</w:t>
                  </w:r>
                </w:p>
              </w:tc>
              <w:tc>
                <w:tcPr>
                  <w:tcW w:w="1290" w:type="pct"/>
                  <w:tcBorders>
                    <w:tl2br w:val="nil"/>
                    <w:tr2bl w:val="nil"/>
                  </w:tcBorders>
                  <w:vAlign w:val="center"/>
                </w:tcPr>
                <w:p w14:paraId="19E441C6">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监测频次及周期</w:t>
                  </w:r>
                </w:p>
              </w:tc>
            </w:tr>
            <w:tr w14:paraId="763B3C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56" w:type="dxa"/>
                  <w:left w:w="107" w:type="dxa"/>
                  <w:bottom w:w="0" w:type="dxa"/>
                  <w:right w:w="110" w:type="dxa"/>
                </w:tblCellMar>
              </w:tblPrEx>
              <w:trPr>
                <w:trHeight w:val="20" w:hRule="atLeast"/>
              </w:trPr>
              <w:tc>
                <w:tcPr>
                  <w:tcW w:w="1096" w:type="pct"/>
                  <w:tcBorders>
                    <w:tl2br w:val="nil"/>
                    <w:tr2bl w:val="nil"/>
                  </w:tcBorders>
                  <w:shd w:val="clear" w:color="auto" w:fill="auto"/>
                  <w:vAlign w:val="center"/>
                </w:tcPr>
                <w:p w14:paraId="01AB267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废水</w:t>
                  </w:r>
                  <w:r>
                    <w:rPr>
                      <w:rFonts w:hint="eastAsia" w:ascii="Times New Roman" w:hAnsi="Times New Roman" w:eastAsia="宋体" w:cs="Times New Roman"/>
                      <w:color w:val="auto"/>
                      <w:sz w:val="21"/>
                      <w:szCs w:val="21"/>
                      <w:lang w:val="en-US" w:eastAsia="zh-CN"/>
                    </w:rPr>
                    <w:t>总排口（DW001）</w:t>
                  </w:r>
                </w:p>
              </w:tc>
              <w:tc>
                <w:tcPr>
                  <w:tcW w:w="2612" w:type="pct"/>
                  <w:tcBorders>
                    <w:tl2br w:val="nil"/>
                    <w:tr2bl w:val="nil"/>
                  </w:tcBorders>
                  <w:shd w:val="clear" w:color="auto" w:fill="auto"/>
                  <w:vAlign w:val="center"/>
                </w:tcPr>
                <w:p w14:paraId="5F5E1013">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pH值、</w:t>
                  </w:r>
                  <w:r>
                    <w:rPr>
                      <w:rFonts w:hint="default" w:ascii="Times New Roman" w:hAnsi="Times New Roman" w:eastAsia="楷体" w:cs="Times New Roman"/>
                      <w:color w:val="auto"/>
                      <w:sz w:val="21"/>
                      <w:szCs w:val="21"/>
                      <w:vertAlign w:val="baseline"/>
                      <w:lang w:val="en-US" w:eastAsia="zh-CN"/>
                    </w:rPr>
                    <w:t>COD</w:t>
                  </w:r>
                  <w:r>
                    <w:rPr>
                      <w:rFonts w:hint="eastAsia" w:ascii="Times New Roman" w:hAnsi="Times New Roman" w:eastAsia="宋体" w:cs="Times New Roman"/>
                      <w:color w:val="auto"/>
                      <w:sz w:val="21"/>
                      <w:szCs w:val="21"/>
                      <w:lang w:val="en-US" w:eastAsia="zh-CN"/>
                    </w:rPr>
                    <w:t>、</w:t>
                  </w:r>
                  <w:r>
                    <w:rPr>
                      <w:rFonts w:hint="default" w:ascii="Times New Roman" w:hAnsi="Times New Roman" w:eastAsia="楷体" w:cs="Times New Roman"/>
                      <w:color w:val="auto"/>
                      <w:sz w:val="21"/>
                      <w:szCs w:val="21"/>
                      <w:vertAlign w:val="baseline"/>
                      <w:lang w:val="en-US" w:eastAsia="zh-CN"/>
                    </w:rPr>
                    <w:t>BOD</w:t>
                  </w:r>
                  <w:r>
                    <w:rPr>
                      <w:rFonts w:hint="default" w:ascii="Times New Roman" w:hAnsi="Times New Roman" w:eastAsia="楷体" w:cs="Times New Roman"/>
                      <w:color w:val="auto"/>
                      <w:sz w:val="21"/>
                      <w:szCs w:val="21"/>
                      <w:vertAlign w:val="subscript"/>
                      <w:lang w:val="en-US" w:eastAsia="zh-CN"/>
                    </w:rPr>
                    <w:t>5</w:t>
                  </w:r>
                  <w:r>
                    <w:rPr>
                      <w:rFonts w:hint="eastAsia" w:ascii="Times New Roman" w:hAnsi="Times New Roman" w:eastAsia="楷体" w:cs="Times New Roman"/>
                      <w:color w:val="auto"/>
                      <w:sz w:val="21"/>
                      <w:szCs w:val="21"/>
                      <w:vertAlign w:val="baseline"/>
                      <w:lang w:val="en-US" w:eastAsia="zh-CN"/>
                    </w:rPr>
                    <w:t>、</w:t>
                  </w:r>
                  <w:r>
                    <w:rPr>
                      <w:rFonts w:hint="default" w:ascii="Times New Roman" w:hAnsi="Times New Roman" w:eastAsia="楷体" w:cs="Times New Roman"/>
                      <w:color w:val="auto"/>
                      <w:sz w:val="21"/>
                      <w:szCs w:val="21"/>
                      <w:vertAlign w:val="baseline"/>
                      <w:lang w:val="en-US" w:eastAsia="zh-CN"/>
                    </w:rPr>
                    <w:t>NH</w:t>
                  </w:r>
                  <w:r>
                    <w:rPr>
                      <w:rFonts w:hint="default" w:ascii="Times New Roman" w:hAnsi="Times New Roman" w:eastAsia="楷体" w:cs="Times New Roman"/>
                      <w:color w:val="auto"/>
                      <w:sz w:val="21"/>
                      <w:szCs w:val="21"/>
                      <w:vertAlign w:val="subscript"/>
                      <w:lang w:val="en-US" w:eastAsia="zh-CN"/>
                    </w:rPr>
                    <w:t>3</w:t>
                  </w:r>
                  <w:r>
                    <w:rPr>
                      <w:rFonts w:hint="default" w:ascii="Times New Roman" w:hAnsi="Times New Roman" w:eastAsia="楷体" w:cs="Times New Roman"/>
                      <w:color w:val="auto"/>
                      <w:sz w:val="21"/>
                      <w:szCs w:val="21"/>
                      <w:vertAlign w:val="baseline"/>
                      <w:lang w:val="en-US" w:eastAsia="zh-CN"/>
                    </w:rPr>
                    <w:t>-N</w:t>
                  </w:r>
                  <w:r>
                    <w:rPr>
                      <w:rFonts w:hint="eastAsia" w:ascii="Times New Roman" w:hAnsi="Times New Roman" w:eastAsia="宋体" w:cs="Times New Roman"/>
                      <w:color w:val="auto"/>
                      <w:sz w:val="21"/>
                      <w:szCs w:val="21"/>
                      <w:lang w:val="en-US" w:eastAsia="zh-CN"/>
                    </w:rPr>
                    <w:t>、</w:t>
                  </w:r>
                  <w:r>
                    <w:rPr>
                      <w:rFonts w:hint="default" w:ascii="Times New Roman" w:hAnsi="Times New Roman" w:eastAsia="楷体" w:cs="Times New Roman"/>
                      <w:color w:val="auto"/>
                      <w:sz w:val="21"/>
                      <w:szCs w:val="21"/>
                      <w:vertAlign w:val="baseline"/>
                      <w:lang w:val="en-US" w:eastAsia="zh-CN"/>
                    </w:rPr>
                    <w:t>SS</w:t>
                  </w:r>
                </w:p>
              </w:tc>
              <w:tc>
                <w:tcPr>
                  <w:tcW w:w="1290" w:type="pct"/>
                  <w:tcBorders>
                    <w:tl2br w:val="nil"/>
                    <w:tr2bl w:val="nil"/>
                  </w:tcBorders>
                  <w:shd w:val="clear" w:color="auto" w:fill="auto"/>
                  <w:vAlign w:val="center"/>
                </w:tcPr>
                <w:p w14:paraId="0F0F1EC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4次/天，连续监测2天</w:t>
                  </w:r>
                </w:p>
              </w:tc>
            </w:tr>
          </w:tbl>
          <w:p w14:paraId="2959859D">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3、噪声监测内容</w:t>
            </w:r>
          </w:p>
          <w:p w14:paraId="795C432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表6-3 噪声监测内容表</w:t>
            </w:r>
          </w:p>
          <w:tbl>
            <w:tblPr>
              <w:tblStyle w:val="19"/>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19" w:type="dxa"/>
                <w:left w:w="107" w:type="dxa"/>
                <w:bottom w:w="5" w:type="dxa"/>
                <w:right w:w="38" w:type="dxa"/>
              </w:tblCellMar>
            </w:tblPr>
            <w:tblGrid>
              <w:gridCol w:w="1399"/>
              <w:gridCol w:w="2295"/>
              <w:gridCol w:w="1018"/>
              <w:gridCol w:w="1873"/>
              <w:gridCol w:w="2123"/>
            </w:tblGrid>
            <w:tr w14:paraId="3BF3AF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19" w:type="dxa"/>
                  <w:left w:w="107" w:type="dxa"/>
                  <w:bottom w:w="5" w:type="dxa"/>
                  <w:right w:w="38" w:type="dxa"/>
                </w:tblCellMar>
              </w:tblPrEx>
              <w:trPr>
                <w:trHeight w:val="20" w:hRule="atLeast"/>
              </w:trPr>
              <w:tc>
                <w:tcPr>
                  <w:tcW w:w="803" w:type="pct"/>
                  <w:tcBorders>
                    <w:tl2br w:val="nil"/>
                    <w:tr2bl w:val="nil"/>
                  </w:tcBorders>
                  <w:vAlign w:val="center"/>
                </w:tcPr>
                <w:p w14:paraId="17641B6F">
                  <w:pPr>
                    <w:keepNext w:val="0"/>
                    <w:keepLines w:val="0"/>
                    <w:pageBreakBefore w:val="0"/>
                    <w:widowControl/>
                    <w:kinsoku/>
                    <w:wordWrap/>
                    <w:overflowPunct/>
                    <w:topLinePunct w:val="0"/>
                    <w:autoSpaceDE/>
                    <w:autoSpaceDN/>
                    <w:bidi w:val="0"/>
                    <w:adjustRightInd w:val="0"/>
                    <w:snapToGrid w:val="0"/>
                    <w:spacing w:after="0" w:line="240" w:lineRule="auto"/>
                    <w:contextualSpacing/>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类别</w:t>
                  </w:r>
                </w:p>
              </w:tc>
              <w:tc>
                <w:tcPr>
                  <w:tcW w:w="1317" w:type="pct"/>
                  <w:tcBorders>
                    <w:tl2br w:val="nil"/>
                    <w:tr2bl w:val="nil"/>
                  </w:tcBorders>
                  <w:vAlign w:val="center"/>
                </w:tcPr>
                <w:p w14:paraId="494A948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监测点位</w:t>
                  </w:r>
                </w:p>
              </w:tc>
              <w:tc>
                <w:tcPr>
                  <w:tcW w:w="584" w:type="pct"/>
                  <w:tcBorders>
                    <w:tl2br w:val="nil"/>
                    <w:tr2bl w:val="nil"/>
                  </w:tcBorders>
                  <w:vAlign w:val="center"/>
                </w:tcPr>
                <w:p w14:paraId="7B325BE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编号</w:t>
                  </w:r>
                </w:p>
              </w:tc>
              <w:tc>
                <w:tcPr>
                  <w:tcW w:w="1075" w:type="pct"/>
                  <w:tcBorders>
                    <w:tl2br w:val="nil"/>
                    <w:tr2bl w:val="nil"/>
                  </w:tcBorders>
                  <w:vAlign w:val="center"/>
                </w:tcPr>
                <w:p w14:paraId="084E9B7B">
                  <w:pPr>
                    <w:keepNext w:val="0"/>
                    <w:keepLines w:val="0"/>
                    <w:pageBreakBefore w:val="0"/>
                    <w:widowControl/>
                    <w:kinsoku/>
                    <w:wordWrap/>
                    <w:overflowPunct/>
                    <w:topLinePunct w:val="0"/>
                    <w:autoSpaceDE/>
                    <w:autoSpaceDN/>
                    <w:bidi w:val="0"/>
                    <w:adjustRightInd w:val="0"/>
                    <w:snapToGrid w:val="0"/>
                    <w:spacing w:after="0" w:line="240" w:lineRule="auto"/>
                    <w:contextualSpacing/>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监测因子</w:t>
                  </w:r>
                </w:p>
              </w:tc>
              <w:tc>
                <w:tcPr>
                  <w:tcW w:w="1218" w:type="pct"/>
                  <w:tcBorders>
                    <w:tl2br w:val="nil"/>
                    <w:tr2bl w:val="nil"/>
                  </w:tcBorders>
                  <w:vAlign w:val="center"/>
                </w:tcPr>
                <w:p w14:paraId="2EB0FCFD">
                  <w:pPr>
                    <w:keepNext w:val="0"/>
                    <w:keepLines w:val="0"/>
                    <w:pageBreakBefore w:val="0"/>
                    <w:widowControl/>
                    <w:kinsoku/>
                    <w:wordWrap/>
                    <w:overflowPunct/>
                    <w:topLinePunct w:val="0"/>
                    <w:autoSpaceDE/>
                    <w:autoSpaceDN/>
                    <w:bidi w:val="0"/>
                    <w:adjustRightInd w:val="0"/>
                    <w:snapToGrid w:val="0"/>
                    <w:spacing w:after="0" w:line="240" w:lineRule="auto"/>
                    <w:contextualSpacing/>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监测频次及周期</w:t>
                  </w:r>
                </w:p>
              </w:tc>
            </w:tr>
            <w:tr w14:paraId="2BBDDC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19" w:type="dxa"/>
                  <w:left w:w="107" w:type="dxa"/>
                  <w:bottom w:w="5" w:type="dxa"/>
                  <w:right w:w="38" w:type="dxa"/>
                </w:tblCellMar>
              </w:tblPrEx>
              <w:trPr>
                <w:trHeight w:val="20" w:hRule="atLeast"/>
              </w:trPr>
              <w:tc>
                <w:tcPr>
                  <w:tcW w:w="803" w:type="pct"/>
                  <w:vMerge w:val="restart"/>
                  <w:tcBorders>
                    <w:tl2br w:val="nil"/>
                    <w:tr2bl w:val="nil"/>
                  </w:tcBorders>
                  <w:vAlign w:val="center"/>
                </w:tcPr>
                <w:p w14:paraId="6B8632B6">
                  <w:pPr>
                    <w:keepNext w:val="0"/>
                    <w:keepLines w:val="0"/>
                    <w:pageBreakBefore w:val="0"/>
                    <w:widowControl/>
                    <w:kinsoku/>
                    <w:wordWrap/>
                    <w:overflowPunct/>
                    <w:topLinePunct w:val="0"/>
                    <w:autoSpaceDE/>
                    <w:autoSpaceDN/>
                    <w:bidi w:val="0"/>
                    <w:adjustRightInd w:val="0"/>
                    <w:snapToGrid w:val="0"/>
                    <w:spacing w:after="0" w:line="240" w:lineRule="auto"/>
                    <w:contextualSpacing/>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厂界噪声</w:t>
                  </w:r>
                </w:p>
              </w:tc>
              <w:tc>
                <w:tcPr>
                  <w:tcW w:w="2295" w:type="dxa"/>
                  <w:tcBorders>
                    <w:tl2br w:val="nil"/>
                    <w:tr2bl w:val="nil"/>
                  </w:tcBorders>
                  <w:vAlign w:val="center"/>
                </w:tcPr>
                <w:p w14:paraId="1731A8AB">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kern w:val="2"/>
                      <w:sz w:val="21"/>
                      <w:szCs w:val="21"/>
                      <w:u w:val="none" w:color="auto"/>
                      <w:vertAlign w:val="baseline"/>
                      <w:lang w:val="en-US" w:eastAsia="zh-CN"/>
                    </w:rPr>
                  </w:pPr>
                  <w:r>
                    <w:rPr>
                      <w:rFonts w:hint="eastAsia" w:ascii="Times New Roman" w:hAnsi="Times New Roman" w:eastAsia="宋体" w:cs="Times New Roman"/>
                      <w:b w:val="0"/>
                      <w:bCs w:val="0"/>
                      <w:color w:val="auto"/>
                      <w:kern w:val="2"/>
                      <w:sz w:val="21"/>
                      <w:szCs w:val="21"/>
                      <w:u w:val="none" w:color="auto"/>
                      <w:vertAlign w:val="baseline"/>
                      <w:lang w:val="en-US" w:eastAsia="zh-CN"/>
                    </w:rPr>
                    <w:t>北侧厂界外1米</w:t>
                  </w:r>
                </w:p>
              </w:tc>
              <w:tc>
                <w:tcPr>
                  <w:tcW w:w="584" w:type="pct"/>
                  <w:tcBorders>
                    <w:tl2br w:val="nil"/>
                    <w:tr2bl w:val="nil"/>
                  </w:tcBorders>
                  <w:vAlign w:val="center"/>
                </w:tcPr>
                <w:p w14:paraId="29F4E57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kern w:val="2"/>
                      <w:sz w:val="21"/>
                      <w:szCs w:val="21"/>
                      <w:u w:val="none" w:color="auto"/>
                      <w:vertAlign w:val="baseline"/>
                      <w:lang w:val="en-US" w:eastAsia="zh-CN"/>
                    </w:rPr>
                  </w:pPr>
                  <w:r>
                    <w:rPr>
                      <w:rFonts w:hint="default" w:ascii="Times New Roman" w:hAnsi="Times New Roman" w:eastAsia="宋体" w:cs="Times New Roman"/>
                      <w:b w:val="0"/>
                      <w:bCs w:val="0"/>
                      <w:color w:val="auto"/>
                      <w:kern w:val="2"/>
                      <w:sz w:val="21"/>
                      <w:szCs w:val="21"/>
                      <w:u w:val="none" w:color="auto"/>
                      <w:vertAlign w:val="baseline"/>
                      <w:lang w:val="en-US" w:eastAsia="zh-CN"/>
                    </w:rPr>
                    <w:t>N1</w:t>
                  </w:r>
                </w:p>
              </w:tc>
              <w:tc>
                <w:tcPr>
                  <w:tcW w:w="1075" w:type="pct"/>
                  <w:vMerge w:val="restart"/>
                  <w:tcBorders>
                    <w:tl2br w:val="nil"/>
                    <w:tr2bl w:val="nil"/>
                  </w:tcBorders>
                  <w:vAlign w:val="center"/>
                </w:tcPr>
                <w:p w14:paraId="1B58190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噪声（连续等效 A 声级）</w:t>
                  </w:r>
                </w:p>
              </w:tc>
              <w:tc>
                <w:tcPr>
                  <w:tcW w:w="1218" w:type="pct"/>
                  <w:vMerge w:val="restart"/>
                  <w:tcBorders>
                    <w:tl2br w:val="nil"/>
                    <w:tr2bl w:val="nil"/>
                  </w:tcBorders>
                  <w:vAlign w:val="center"/>
                </w:tcPr>
                <w:p w14:paraId="11B958D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昼</w:t>
                  </w:r>
                  <w:r>
                    <w:rPr>
                      <w:rFonts w:hint="eastAsia" w:ascii="Times New Roman" w:hAnsi="Times New Roman" w:eastAsia="宋体" w:cs="Times New Roman"/>
                      <w:b w:val="0"/>
                      <w:bCs w:val="0"/>
                      <w:color w:val="auto"/>
                      <w:sz w:val="21"/>
                      <w:szCs w:val="21"/>
                      <w:lang w:val="en-US" w:eastAsia="zh-CN"/>
                    </w:rPr>
                    <w:t>间</w:t>
                  </w:r>
                  <w:r>
                    <w:rPr>
                      <w:rFonts w:hint="default" w:ascii="Times New Roman" w:hAnsi="Times New Roman" w:eastAsia="宋体" w:cs="Times New Roman"/>
                      <w:b w:val="0"/>
                      <w:bCs w:val="0"/>
                      <w:color w:val="auto"/>
                      <w:sz w:val="21"/>
                      <w:szCs w:val="21"/>
                    </w:rPr>
                    <w:t>噪</w:t>
                  </w:r>
                  <w:r>
                    <w:rPr>
                      <w:rFonts w:hint="eastAsia" w:ascii="Times New Roman" w:hAnsi="Times New Roman" w:eastAsia="宋体" w:cs="Times New Roman"/>
                      <w:b w:val="0"/>
                      <w:bCs w:val="0"/>
                      <w:color w:val="auto"/>
                      <w:sz w:val="21"/>
                      <w:szCs w:val="21"/>
                      <w:lang w:val="en-US" w:eastAsia="zh-CN"/>
                    </w:rPr>
                    <w:t>声</w:t>
                  </w:r>
                  <w:r>
                    <w:rPr>
                      <w:rFonts w:hint="default" w:ascii="Times New Roman" w:hAnsi="Times New Roman" w:eastAsia="宋体" w:cs="Times New Roman"/>
                      <w:b w:val="0"/>
                      <w:bCs w:val="0"/>
                      <w:color w:val="auto"/>
                      <w:sz w:val="21"/>
                      <w:szCs w:val="21"/>
                    </w:rPr>
                    <w:t>监测1次，连续监测2天</w:t>
                  </w:r>
                </w:p>
              </w:tc>
            </w:tr>
            <w:tr w14:paraId="6D8711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19" w:type="dxa"/>
                  <w:left w:w="107" w:type="dxa"/>
                  <w:bottom w:w="5" w:type="dxa"/>
                  <w:right w:w="38" w:type="dxa"/>
                </w:tblCellMar>
              </w:tblPrEx>
              <w:trPr>
                <w:trHeight w:val="20" w:hRule="atLeast"/>
              </w:trPr>
              <w:tc>
                <w:tcPr>
                  <w:tcW w:w="803" w:type="pct"/>
                  <w:vMerge w:val="continue"/>
                  <w:tcBorders>
                    <w:tl2br w:val="nil"/>
                    <w:tr2bl w:val="nil"/>
                  </w:tcBorders>
                  <w:vAlign w:val="center"/>
                </w:tcPr>
                <w:p w14:paraId="75B60306">
                  <w:pPr>
                    <w:keepNext w:val="0"/>
                    <w:keepLines w:val="0"/>
                    <w:pageBreakBefore w:val="0"/>
                    <w:widowControl/>
                    <w:kinsoku/>
                    <w:wordWrap/>
                    <w:overflowPunct/>
                    <w:topLinePunct w:val="0"/>
                    <w:autoSpaceDE/>
                    <w:autoSpaceDN/>
                    <w:bidi w:val="0"/>
                    <w:adjustRightInd w:val="0"/>
                    <w:snapToGrid w:val="0"/>
                    <w:spacing w:after="0" w:line="240" w:lineRule="auto"/>
                    <w:contextualSpacing/>
                    <w:jc w:val="center"/>
                    <w:textAlignment w:val="auto"/>
                    <w:rPr>
                      <w:rFonts w:hint="default" w:ascii="Times New Roman" w:hAnsi="Times New Roman" w:eastAsia="宋体" w:cs="Times New Roman"/>
                      <w:b w:val="0"/>
                      <w:bCs w:val="0"/>
                      <w:color w:val="FF0000"/>
                      <w:sz w:val="21"/>
                      <w:szCs w:val="21"/>
                    </w:rPr>
                  </w:pPr>
                </w:p>
              </w:tc>
              <w:tc>
                <w:tcPr>
                  <w:tcW w:w="2295" w:type="dxa"/>
                  <w:tcBorders>
                    <w:tl2br w:val="nil"/>
                    <w:tr2bl w:val="nil"/>
                  </w:tcBorders>
                  <w:vAlign w:val="center"/>
                </w:tcPr>
                <w:p w14:paraId="71BC16B4">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kern w:val="2"/>
                      <w:sz w:val="21"/>
                      <w:szCs w:val="21"/>
                      <w:u w:val="none" w:color="auto"/>
                      <w:vertAlign w:val="baseline"/>
                      <w:lang w:val="en-US" w:eastAsia="zh-CN"/>
                    </w:rPr>
                  </w:pPr>
                  <w:r>
                    <w:rPr>
                      <w:rFonts w:hint="eastAsia" w:ascii="Times New Roman" w:hAnsi="Times New Roman" w:eastAsia="宋体" w:cs="Times New Roman"/>
                      <w:b w:val="0"/>
                      <w:bCs w:val="0"/>
                      <w:color w:val="auto"/>
                      <w:kern w:val="2"/>
                      <w:sz w:val="21"/>
                      <w:szCs w:val="21"/>
                      <w:u w:val="none" w:color="auto"/>
                      <w:vertAlign w:val="baseline"/>
                      <w:lang w:val="en-US" w:eastAsia="zh-CN"/>
                    </w:rPr>
                    <w:t>东侧厂界外1米</w:t>
                  </w:r>
                </w:p>
              </w:tc>
              <w:tc>
                <w:tcPr>
                  <w:tcW w:w="584" w:type="pct"/>
                  <w:tcBorders>
                    <w:tl2br w:val="nil"/>
                    <w:tr2bl w:val="nil"/>
                  </w:tcBorders>
                  <w:vAlign w:val="center"/>
                </w:tcPr>
                <w:p w14:paraId="76E8331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kern w:val="2"/>
                      <w:sz w:val="21"/>
                      <w:szCs w:val="21"/>
                      <w:u w:val="none" w:color="auto"/>
                      <w:vertAlign w:val="baseline"/>
                      <w:lang w:val="en-US" w:eastAsia="zh-CN"/>
                    </w:rPr>
                  </w:pPr>
                  <w:r>
                    <w:rPr>
                      <w:rFonts w:hint="default" w:ascii="Times New Roman" w:hAnsi="Times New Roman" w:eastAsia="宋体" w:cs="Times New Roman"/>
                      <w:b w:val="0"/>
                      <w:bCs w:val="0"/>
                      <w:color w:val="auto"/>
                      <w:kern w:val="2"/>
                      <w:sz w:val="21"/>
                      <w:szCs w:val="21"/>
                      <w:u w:val="none" w:color="auto"/>
                      <w:vertAlign w:val="baseline"/>
                      <w:lang w:val="en-US" w:eastAsia="zh-CN"/>
                    </w:rPr>
                    <w:t>N2</w:t>
                  </w:r>
                </w:p>
              </w:tc>
              <w:tc>
                <w:tcPr>
                  <w:tcW w:w="1075" w:type="pct"/>
                  <w:vMerge w:val="continue"/>
                  <w:tcBorders>
                    <w:tl2br w:val="nil"/>
                    <w:tr2bl w:val="nil"/>
                  </w:tcBorders>
                  <w:vAlign w:val="center"/>
                </w:tcPr>
                <w:p w14:paraId="0B8112C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FF0000"/>
                      <w:sz w:val="21"/>
                      <w:szCs w:val="21"/>
                    </w:rPr>
                  </w:pPr>
                </w:p>
              </w:tc>
              <w:tc>
                <w:tcPr>
                  <w:tcW w:w="1218" w:type="pct"/>
                  <w:vMerge w:val="continue"/>
                  <w:tcBorders>
                    <w:tl2br w:val="nil"/>
                    <w:tr2bl w:val="nil"/>
                  </w:tcBorders>
                  <w:vAlign w:val="center"/>
                </w:tcPr>
                <w:p w14:paraId="4A04821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FF0000"/>
                      <w:sz w:val="21"/>
                      <w:szCs w:val="21"/>
                    </w:rPr>
                  </w:pPr>
                </w:p>
              </w:tc>
            </w:tr>
            <w:tr w14:paraId="00796F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19" w:type="dxa"/>
                  <w:left w:w="107" w:type="dxa"/>
                  <w:bottom w:w="5" w:type="dxa"/>
                  <w:right w:w="38" w:type="dxa"/>
                </w:tblCellMar>
              </w:tblPrEx>
              <w:trPr>
                <w:trHeight w:val="20" w:hRule="atLeast"/>
              </w:trPr>
              <w:tc>
                <w:tcPr>
                  <w:tcW w:w="803" w:type="pct"/>
                  <w:vMerge w:val="continue"/>
                  <w:tcBorders>
                    <w:tl2br w:val="nil"/>
                    <w:tr2bl w:val="nil"/>
                  </w:tcBorders>
                  <w:vAlign w:val="center"/>
                </w:tcPr>
                <w:p w14:paraId="7C43ACDF">
                  <w:pPr>
                    <w:keepNext w:val="0"/>
                    <w:keepLines w:val="0"/>
                    <w:pageBreakBefore w:val="0"/>
                    <w:widowControl/>
                    <w:kinsoku/>
                    <w:wordWrap/>
                    <w:overflowPunct/>
                    <w:topLinePunct w:val="0"/>
                    <w:autoSpaceDE/>
                    <w:autoSpaceDN/>
                    <w:bidi w:val="0"/>
                    <w:adjustRightInd w:val="0"/>
                    <w:snapToGrid w:val="0"/>
                    <w:spacing w:after="0" w:line="240" w:lineRule="auto"/>
                    <w:contextualSpacing/>
                    <w:jc w:val="center"/>
                    <w:textAlignment w:val="auto"/>
                    <w:rPr>
                      <w:rFonts w:hint="default" w:ascii="Times New Roman" w:hAnsi="Times New Roman" w:eastAsia="宋体" w:cs="Times New Roman"/>
                      <w:b w:val="0"/>
                      <w:bCs w:val="0"/>
                      <w:color w:val="FF0000"/>
                      <w:sz w:val="21"/>
                      <w:szCs w:val="21"/>
                    </w:rPr>
                  </w:pPr>
                </w:p>
              </w:tc>
              <w:tc>
                <w:tcPr>
                  <w:tcW w:w="2295" w:type="dxa"/>
                  <w:tcBorders>
                    <w:tl2br w:val="nil"/>
                    <w:tr2bl w:val="nil"/>
                  </w:tcBorders>
                  <w:vAlign w:val="center"/>
                </w:tcPr>
                <w:p w14:paraId="7CF7DF7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kern w:val="2"/>
                      <w:sz w:val="21"/>
                      <w:szCs w:val="21"/>
                      <w:u w:val="none" w:color="auto"/>
                      <w:vertAlign w:val="baseline"/>
                      <w:lang w:val="en-US" w:eastAsia="zh-CN"/>
                    </w:rPr>
                  </w:pPr>
                  <w:r>
                    <w:rPr>
                      <w:rFonts w:hint="eastAsia" w:ascii="Times New Roman" w:hAnsi="Times New Roman" w:eastAsia="宋体" w:cs="Times New Roman"/>
                      <w:b w:val="0"/>
                      <w:bCs w:val="0"/>
                      <w:color w:val="auto"/>
                      <w:kern w:val="2"/>
                      <w:sz w:val="21"/>
                      <w:szCs w:val="21"/>
                      <w:u w:val="none" w:color="auto"/>
                      <w:vertAlign w:val="baseline"/>
                      <w:lang w:val="en-US" w:eastAsia="zh-CN"/>
                    </w:rPr>
                    <w:t>南侧厂界外1米</w:t>
                  </w:r>
                </w:p>
              </w:tc>
              <w:tc>
                <w:tcPr>
                  <w:tcW w:w="584" w:type="pct"/>
                  <w:tcBorders>
                    <w:tl2br w:val="nil"/>
                    <w:tr2bl w:val="nil"/>
                  </w:tcBorders>
                  <w:vAlign w:val="center"/>
                </w:tcPr>
                <w:p w14:paraId="0769FEB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kern w:val="2"/>
                      <w:sz w:val="21"/>
                      <w:szCs w:val="21"/>
                      <w:u w:val="none" w:color="auto"/>
                      <w:vertAlign w:val="baseline"/>
                      <w:lang w:val="en-US" w:eastAsia="zh-CN"/>
                    </w:rPr>
                  </w:pPr>
                  <w:r>
                    <w:rPr>
                      <w:rFonts w:hint="default" w:ascii="Times New Roman" w:hAnsi="Times New Roman" w:eastAsia="宋体" w:cs="Times New Roman"/>
                      <w:b w:val="0"/>
                      <w:bCs w:val="0"/>
                      <w:color w:val="auto"/>
                      <w:kern w:val="2"/>
                      <w:sz w:val="21"/>
                      <w:szCs w:val="21"/>
                      <w:u w:val="none" w:color="auto"/>
                      <w:vertAlign w:val="baseline"/>
                      <w:lang w:val="en-US" w:eastAsia="zh-CN"/>
                    </w:rPr>
                    <w:t>N3</w:t>
                  </w:r>
                </w:p>
              </w:tc>
              <w:tc>
                <w:tcPr>
                  <w:tcW w:w="1075" w:type="pct"/>
                  <w:vMerge w:val="continue"/>
                  <w:tcBorders>
                    <w:tl2br w:val="nil"/>
                    <w:tr2bl w:val="nil"/>
                  </w:tcBorders>
                  <w:vAlign w:val="center"/>
                </w:tcPr>
                <w:p w14:paraId="3B7DAD8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FF0000"/>
                      <w:sz w:val="21"/>
                      <w:szCs w:val="21"/>
                    </w:rPr>
                  </w:pPr>
                </w:p>
              </w:tc>
              <w:tc>
                <w:tcPr>
                  <w:tcW w:w="1218" w:type="pct"/>
                  <w:vMerge w:val="continue"/>
                  <w:tcBorders>
                    <w:tl2br w:val="nil"/>
                    <w:tr2bl w:val="nil"/>
                  </w:tcBorders>
                  <w:vAlign w:val="center"/>
                </w:tcPr>
                <w:p w14:paraId="3D1824D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FF0000"/>
                      <w:sz w:val="21"/>
                      <w:szCs w:val="21"/>
                    </w:rPr>
                  </w:pPr>
                </w:p>
              </w:tc>
            </w:tr>
            <w:tr w14:paraId="6A995D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119" w:type="dxa"/>
                  <w:left w:w="107" w:type="dxa"/>
                  <w:bottom w:w="5" w:type="dxa"/>
                  <w:right w:w="38" w:type="dxa"/>
                </w:tblCellMar>
              </w:tblPrEx>
              <w:trPr>
                <w:trHeight w:val="20" w:hRule="atLeast"/>
              </w:trPr>
              <w:tc>
                <w:tcPr>
                  <w:tcW w:w="803" w:type="pct"/>
                  <w:vMerge w:val="continue"/>
                  <w:tcBorders>
                    <w:tl2br w:val="nil"/>
                    <w:tr2bl w:val="nil"/>
                  </w:tcBorders>
                  <w:vAlign w:val="center"/>
                </w:tcPr>
                <w:p w14:paraId="7010388C">
                  <w:pPr>
                    <w:keepNext w:val="0"/>
                    <w:keepLines w:val="0"/>
                    <w:pageBreakBefore w:val="0"/>
                    <w:widowControl/>
                    <w:kinsoku/>
                    <w:wordWrap/>
                    <w:overflowPunct/>
                    <w:topLinePunct w:val="0"/>
                    <w:autoSpaceDE/>
                    <w:autoSpaceDN/>
                    <w:bidi w:val="0"/>
                    <w:adjustRightInd w:val="0"/>
                    <w:snapToGrid w:val="0"/>
                    <w:spacing w:after="0" w:line="240" w:lineRule="auto"/>
                    <w:contextualSpacing/>
                    <w:jc w:val="center"/>
                    <w:textAlignment w:val="auto"/>
                    <w:rPr>
                      <w:rFonts w:hint="default" w:ascii="Times New Roman" w:hAnsi="Times New Roman" w:eastAsia="宋体" w:cs="Times New Roman"/>
                      <w:b w:val="0"/>
                      <w:bCs w:val="0"/>
                      <w:color w:val="FF0000"/>
                      <w:sz w:val="21"/>
                      <w:szCs w:val="21"/>
                    </w:rPr>
                  </w:pPr>
                </w:p>
              </w:tc>
              <w:tc>
                <w:tcPr>
                  <w:tcW w:w="2295" w:type="dxa"/>
                  <w:tcBorders>
                    <w:tl2br w:val="nil"/>
                    <w:tr2bl w:val="nil"/>
                  </w:tcBorders>
                  <w:vAlign w:val="center"/>
                </w:tcPr>
                <w:p w14:paraId="5105425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kern w:val="2"/>
                      <w:sz w:val="21"/>
                      <w:szCs w:val="21"/>
                      <w:u w:val="none" w:color="auto"/>
                      <w:vertAlign w:val="baseline"/>
                      <w:lang w:val="en-US" w:eastAsia="zh-CN"/>
                    </w:rPr>
                  </w:pPr>
                  <w:r>
                    <w:rPr>
                      <w:rFonts w:hint="eastAsia" w:ascii="Times New Roman" w:hAnsi="Times New Roman" w:eastAsia="宋体" w:cs="Times New Roman"/>
                      <w:b w:val="0"/>
                      <w:bCs w:val="0"/>
                      <w:color w:val="auto"/>
                      <w:kern w:val="2"/>
                      <w:sz w:val="21"/>
                      <w:szCs w:val="21"/>
                      <w:u w:val="none" w:color="auto"/>
                      <w:vertAlign w:val="baseline"/>
                      <w:lang w:val="en-US" w:eastAsia="zh-CN"/>
                    </w:rPr>
                    <w:t>西侧厂界外1米</w:t>
                  </w:r>
                </w:p>
              </w:tc>
              <w:tc>
                <w:tcPr>
                  <w:tcW w:w="584" w:type="pct"/>
                  <w:tcBorders>
                    <w:tl2br w:val="nil"/>
                    <w:tr2bl w:val="nil"/>
                  </w:tcBorders>
                  <w:vAlign w:val="center"/>
                </w:tcPr>
                <w:p w14:paraId="5FFD485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auto"/>
                      <w:kern w:val="2"/>
                      <w:sz w:val="21"/>
                      <w:szCs w:val="21"/>
                      <w:u w:val="none" w:color="auto"/>
                      <w:vertAlign w:val="baseline"/>
                      <w:lang w:val="en-US" w:eastAsia="zh-CN"/>
                    </w:rPr>
                  </w:pPr>
                  <w:r>
                    <w:rPr>
                      <w:rFonts w:hint="default" w:ascii="Times New Roman" w:hAnsi="Times New Roman" w:eastAsia="宋体" w:cs="Times New Roman"/>
                      <w:b w:val="0"/>
                      <w:bCs w:val="0"/>
                      <w:color w:val="auto"/>
                      <w:kern w:val="2"/>
                      <w:sz w:val="21"/>
                      <w:szCs w:val="21"/>
                      <w:u w:val="none" w:color="auto"/>
                      <w:vertAlign w:val="baseline"/>
                      <w:lang w:val="en-US" w:eastAsia="zh-CN"/>
                    </w:rPr>
                    <w:t>N4</w:t>
                  </w:r>
                </w:p>
              </w:tc>
              <w:tc>
                <w:tcPr>
                  <w:tcW w:w="1075" w:type="pct"/>
                  <w:vMerge w:val="continue"/>
                  <w:tcBorders>
                    <w:tl2br w:val="nil"/>
                    <w:tr2bl w:val="nil"/>
                  </w:tcBorders>
                  <w:vAlign w:val="center"/>
                </w:tcPr>
                <w:p w14:paraId="07A9E98E">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FF0000"/>
                      <w:sz w:val="21"/>
                      <w:szCs w:val="21"/>
                    </w:rPr>
                  </w:pPr>
                </w:p>
              </w:tc>
              <w:tc>
                <w:tcPr>
                  <w:tcW w:w="1218" w:type="pct"/>
                  <w:vMerge w:val="continue"/>
                  <w:tcBorders>
                    <w:tl2br w:val="nil"/>
                    <w:tr2bl w:val="nil"/>
                  </w:tcBorders>
                  <w:vAlign w:val="center"/>
                </w:tcPr>
                <w:p w14:paraId="7D25240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val="0"/>
                      <w:bCs w:val="0"/>
                      <w:color w:val="FF0000"/>
                      <w:sz w:val="21"/>
                      <w:szCs w:val="21"/>
                    </w:rPr>
                  </w:pPr>
                </w:p>
              </w:tc>
            </w:tr>
          </w:tbl>
          <w:p w14:paraId="7ACAFF88">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4、项目监测点位示意图</w:t>
            </w:r>
          </w:p>
          <w:p w14:paraId="7E457CD1">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项目监测点位图见下图6-1。</w:t>
            </w:r>
          </w:p>
          <w:p w14:paraId="04CCD78C">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Times New Roman" w:hAnsi="Times New Roman" w:eastAsia="宋体" w:cs="Times New Roman"/>
                <w:b w:val="0"/>
                <w:bCs w:val="0"/>
                <w:color w:val="auto"/>
                <w:sz w:val="24"/>
                <w:szCs w:val="24"/>
                <w:lang w:val="en-US" w:eastAsia="zh-CN"/>
              </w:rPr>
            </w:pPr>
            <w:r>
              <w:drawing>
                <wp:inline distT="0" distB="0" distL="114300" distR="114300">
                  <wp:extent cx="5523865" cy="4455160"/>
                  <wp:effectExtent l="0" t="0" r="635" b="2540"/>
                  <wp:docPr id="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
                          <pic:cNvPicPr>
                            <a:picLocks noChangeAspect="1"/>
                          </pic:cNvPicPr>
                        </pic:nvPicPr>
                        <pic:blipFill>
                          <a:blip r:embed="rId25"/>
                          <a:stretch>
                            <a:fillRect/>
                          </a:stretch>
                        </pic:blipFill>
                        <pic:spPr>
                          <a:xfrm>
                            <a:off x="0" y="0"/>
                            <a:ext cx="5523865" cy="4455160"/>
                          </a:xfrm>
                          <a:prstGeom prst="rect">
                            <a:avLst/>
                          </a:prstGeom>
                          <a:noFill/>
                          <a:ln>
                            <a:noFill/>
                          </a:ln>
                        </pic:spPr>
                      </pic:pic>
                    </a:graphicData>
                  </a:graphic>
                </wp:inline>
              </w:drawing>
            </w:r>
          </w:p>
          <w:p w14:paraId="40C5D4DC">
            <w:pPr>
              <w:jc w:val="center"/>
              <w:rPr>
                <w:color w:val="auto"/>
                <w:highlight w:val="none"/>
              </w:rPr>
            </w:pPr>
            <w:r>
              <w:rPr>
                <w:rFonts w:hint="default" w:ascii="Times New Roman" w:hAnsi="Times New Roman" w:eastAsia="宋体" w:cs="Times New Roman"/>
                <w:b/>
                <w:bCs/>
                <w:color w:val="auto"/>
                <w:sz w:val="21"/>
                <w:szCs w:val="21"/>
                <w:highlight w:val="none"/>
                <w:lang w:val="en-US" w:eastAsia="zh-CN"/>
              </w:rPr>
              <w:t>图6-1 监测点位示意图</w:t>
            </w:r>
          </w:p>
          <w:p w14:paraId="1B2EDDB6">
            <w:pPr>
              <w:pStyle w:val="14"/>
              <w:rPr>
                <w:rFonts w:hint="eastAsia" w:eastAsia="仿宋_GB2312"/>
                <w:color w:val="FF0000"/>
                <w:sz w:val="21"/>
                <w:szCs w:val="21"/>
              </w:rPr>
            </w:pPr>
          </w:p>
        </w:tc>
      </w:tr>
    </w:tbl>
    <w:p w14:paraId="2BE5EDCC">
      <w:pPr>
        <w:spacing w:line="360" w:lineRule="auto"/>
        <w:rPr>
          <w:rFonts w:hint="eastAsia" w:eastAsia="仿宋_GB2312"/>
          <w:color w:val="FF0000"/>
          <w:sz w:val="21"/>
          <w:szCs w:val="21"/>
        </w:rPr>
      </w:pPr>
    </w:p>
    <w:p w14:paraId="0CA4C790">
      <w:pPr>
        <w:spacing w:after="0" w:afterLines="0" w:line="360" w:lineRule="auto"/>
        <w:rPr>
          <w:rFonts w:eastAsia="仿宋_GB2312"/>
          <w:b/>
          <w:color w:val="FF0000"/>
          <w:sz w:val="21"/>
          <w:szCs w:val="21"/>
        </w:rPr>
        <w:sectPr>
          <w:footerReference r:id="rId10" w:type="default"/>
          <w:pgSz w:w="11906" w:h="16838"/>
          <w:pgMar w:top="1440" w:right="1800" w:bottom="1440" w:left="1800" w:header="708" w:footer="708" w:gutter="0"/>
          <w:pgBorders>
            <w:top w:val="none" w:sz="0" w:space="0"/>
            <w:left w:val="none" w:sz="0" w:space="0"/>
            <w:bottom w:val="none" w:sz="0" w:space="0"/>
            <w:right w:val="none" w:sz="0" w:space="0"/>
          </w:pgBorders>
          <w:pgNumType w:fmt="decimal"/>
          <w:cols w:space="720" w:num="1"/>
          <w:docGrid w:linePitch="360" w:charSpace="0"/>
        </w:sectPr>
      </w:pPr>
    </w:p>
    <w:p w14:paraId="4214671B">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default" w:ascii="Times New Roman" w:hAnsi="Times New Roman" w:eastAsia="宋体" w:cs="Times New Roman"/>
          <w:b/>
          <w:color w:val="auto"/>
          <w:sz w:val="24"/>
          <w:szCs w:val="24"/>
          <w:lang w:val="en-US" w:eastAsia="zh-CN"/>
        </w:rPr>
      </w:pPr>
      <w:bookmarkStart w:id="23" w:name="_Toc22001"/>
      <w:r>
        <w:rPr>
          <w:rFonts w:hint="default" w:ascii="Times New Roman" w:hAnsi="Times New Roman" w:eastAsia="宋体" w:cs="Times New Roman"/>
          <w:b/>
          <w:color w:val="auto"/>
          <w:sz w:val="24"/>
          <w:szCs w:val="24"/>
        </w:rPr>
        <w:t>表</w:t>
      </w:r>
      <w:r>
        <w:rPr>
          <w:rFonts w:hint="eastAsia" w:ascii="Times New Roman" w:hAnsi="Times New Roman" w:eastAsia="宋体" w:cs="Times New Roman"/>
          <w:b/>
          <w:color w:val="auto"/>
          <w:sz w:val="24"/>
          <w:szCs w:val="24"/>
        </w:rPr>
        <w:t>七</w:t>
      </w:r>
      <w:r>
        <w:rPr>
          <w:rFonts w:hint="eastAsia" w:ascii="Times New Roman" w:hAnsi="Times New Roman" w:eastAsia="宋体" w:cs="Times New Roman"/>
          <w:b/>
          <w:color w:val="auto"/>
          <w:sz w:val="24"/>
          <w:szCs w:val="24"/>
          <w:lang w:val="en-US" w:eastAsia="zh-CN"/>
        </w:rPr>
        <w:t xml:space="preserve">  </w:t>
      </w:r>
      <w:r>
        <w:rPr>
          <w:rFonts w:hint="eastAsia" w:ascii="Times New Roman" w:hAnsi="Times New Roman" w:eastAsia="宋体" w:cs="Times New Roman"/>
          <w:b/>
          <w:color w:val="auto"/>
          <w:sz w:val="24"/>
          <w:szCs w:val="24"/>
        </w:rPr>
        <w:t>验收监测结果及工况记录</w:t>
      </w:r>
      <w:bookmarkEnd w:id="23"/>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Layout w:type="autofit"/>
        <w:tblCellMar>
          <w:top w:w="0" w:type="dxa"/>
          <w:left w:w="108" w:type="dxa"/>
          <w:bottom w:w="0" w:type="dxa"/>
          <w:right w:w="108" w:type="dxa"/>
        </w:tblCellMar>
      </w:tblPr>
      <w:tblGrid>
        <w:gridCol w:w="8522"/>
      </w:tblGrid>
      <w:tr w14:paraId="7917D5E3">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cantSplit/>
          <w:trHeight w:val="859" w:hRule="atLeast"/>
          <w:jc w:val="center"/>
        </w:trPr>
        <w:tc>
          <w:tcPr>
            <w:tcW w:w="8522" w:type="dxa"/>
            <w:tcBorders>
              <w:tl2br w:val="nil"/>
              <w:tr2bl w:val="nil"/>
            </w:tcBorders>
            <w:noWrap w:val="0"/>
            <w:vAlign w:val="top"/>
          </w:tcPr>
          <w:p w14:paraId="1B6EE49E">
            <w:pPr>
              <w:pageBreakBefore w:val="0"/>
              <w:kinsoku/>
              <w:wordWrap/>
              <w:overflowPunct/>
              <w:topLinePunct w:val="0"/>
              <w:bidi w:val="0"/>
              <w:spacing w:after="0" w:line="360" w:lineRule="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7.1验收监测期间生产工况记录</w:t>
            </w:r>
          </w:p>
          <w:p w14:paraId="05667DB0">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1、生产情况记录</w:t>
            </w:r>
          </w:p>
          <w:p w14:paraId="22C13EC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color w:val="FF0000"/>
              </w:rPr>
            </w:pPr>
            <w:r>
              <w:rPr>
                <w:rFonts w:hint="default" w:ascii="Times New Roman" w:hAnsi="Times New Roman" w:eastAsia="宋体" w:cs="Times New Roman"/>
                <w:color w:val="auto"/>
                <w:sz w:val="24"/>
                <w:szCs w:val="24"/>
                <w:lang w:val="en-US" w:eastAsia="zh-CN"/>
              </w:rPr>
              <w:t>项目</w:t>
            </w:r>
            <w:r>
              <w:rPr>
                <w:rFonts w:hint="eastAsia" w:ascii="Times New Roman" w:hAnsi="Times New Roman" w:eastAsia="宋体" w:cs="Times New Roman"/>
                <w:color w:val="auto"/>
                <w:sz w:val="24"/>
                <w:szCs w:val="24"/>
                <w:lang w:val="en-US" w:eastAsia="zh-CN"/>
              </w:rPr>
              <w:t>实行8</w:t>
            </w:r>
            <w:r>
              <w:rPr>
                <w:rFonts w:hint="default" w:ascii="Times New Roman" w:hAnsi="Times New Roman" w:eastAsia="宋体" w:cs="Times New Roman"/>
                <w:color w:val="auto"/>
                <w:sz w:val="24"/>
                <w:szCs w:val="24"/>
                <w:lang w:val="en-US" w:eastAsia="zh-CN"/>
              </w:rPr>
              <w:t>小时</w:t>
            </w:r>
            <w:r>
              <w:rPr>
                <w:rFonts w:hint="eastAsia" w:ascii="Times New Roman" w:hAnsi="Times New Roman" w:eastAsia="宋体" w:cs="Times New Roman"/>
                <w:color w:val="auto"/>
                <w:sz w:val="24"/>
                <w:szCs w:val="24"/>
                <w:lang w:val="en-US" w:eastAsia="zh-CN"/>
              </w:rPr>
              <w:t>单班制生产，</w:t>
            </w:r>
            <w:r>
              <w:rPr>
                <w:rFonts w:hint="default" w:ascii="Times New Roman" w:hAnsi="Times New Roman" w:eastAsia="宋体" w:cs="Times New Roman"/>
                <w:color w:val="auto"/>
                <w:sz w:val="24"/>
                <w:szCs w:val="24"/>
                <w:lang w:val="en-US" w:eastAsia="zh-CN"/>
              </w:rPr>
              <w:t>年产300天，环评设计生产能力为</w:t>
            </w:r>
            <w:r>
              <w:rPr>
                <w:rFonts w:hint="default" w:ascii="Times New Roman" w:hAnsi="Times New Roman" w:eastAsia="宋体" w:cs="Times New Roman"/>
                <w:bCs/>
                <w:color w:val="auto"/>
                <w:sz w:val="24"/>
              </w:rPr>
              <w:t>年产</w:t>
            </w:r>
            <w:r>
              <w:rPr>
                <w:rFonts w:hint="default" w:ascii="Times New Roman" w:hAnsi="Times New Roman" w:eastAsia="宋体" w:cs="Times New Roman"/>
                <w:bCs/>
                <w:color w:val="auto"/>
                <w:sz w:val="24"/>
                <w:lang w:eastAsia="zh-CN"/>
              </w:rPr>
              <w:t>1.2亿平万米PVC保护膜</w:t>
            </w:r>
            <w:r>
              <w:rPr>
                <w:rFonts w:hint="default" w:ascii="Times New Roman" w:hAnsi="Times New Roman" w:eastAsia="宋体" w:cs="Times New Roman"/>
                <w:color w:val="auto"/>
                <w:sz w:val="24"/>
                <w:szCs w:val="24"/>
                <w:lang w:val="en-US" w:eastAsia="zh-CN"/>
              </w:rPr>
              <w:t>，现阶段实际建设产能为</w:t>
            </w:r>
            <w:r>
              <w:rPr>
                <w:rFonts w:hint="default" w:ascii="Times New Roman" w:hAnsi="Times New Roman" w:eastAsia="宋体" w:cs="Times New Roman"/>
                <w:bCs/>
                <w:color w:val="auto"/>
                <w:sz w:val="24"/>
              </w:rPr>
              <w:t>年产</w:t>
            </w:r>
            <w:r>
              <w:rPr>
                <w:rFonts w:hint="eastAsia" w:ascii="Times New Roman" w:hAnsi="Times New Roman" w:eastAsia="宋体" w:cs="Times New Roman"/>
                <w:bCs/>
                <w:color w:val="auto"/>
                <w:sz w:val="24"/>
                <w:lang w:val="en-US" w:eastAsia="zh-CN"/>
              </w:rPr>
              <w:t>4000万</w:t>
            </w:r>
            <w:r>
              <w:rPr>
                <w:rFonts w:hint="default" w:ascii="Times New Roman" w:hAnsi="Times New Roman" w:eastAsia="宋体" w:cs="Times New Roman"/>
                <w:bCs/>
                <w:color w:val="auto"/>
                <w:sz w:val="24"/>
                <w:lang w:eastAsia="zh-CN"/>
              </w:rPr>
              <w:t>平万米PVC保护膜</w:t>
            </w:r>
            <w:r>
              <w:rPr>
                <w:rFonts w:hint="default" w:ascii="Times New Roman" w:hAnsi="Times New Roman" w:eastAsia="宋体" w:cs="Times New Roman"/>
                <w:color w:val="auto"/>
                <w:sz w:val="24"/>
                <w:szCs w:val="24"/>
                <w:lang w:val="en-US" w:eastAsia="zh-CN"/>
              </w:rPr>
              <w:t>，在验收监测期间工况正常，环保设施均正常运行，</w:t>
            </w:r>
            <w:r>
              <w:rPr>
                <w:rFonts w:hint="eastAsia" w:ascii="Times New Roman" w:hAnsi="Times New Roman" w:eastAsia="宋体" w:cs="Times New Roman"/>
                <w:color w:val="auto"/>
                <w:sz w:val="24"/>
                <w:szCs w:val="24"/>
                <w:lang w:val="en-US" w:eastAsia="zh-CN"/>
              </w:rPr>
              <w:t>根据检测当天企业生产记录，</w:t>
            </w:r>
            <w:r>
              <w:rPr>
                <w:rFonts w:hint="default" w:ascii="Times New Roman" w:hAnsi="Times New Roman" w:eastAsia="宋体" w:cs="Times New Roman"/>
                <w:color w:val="auto"/>
                <w:sz w:val="24"/>
                <w:szCs w:val="24"/>
                <w:lang w:val="en-US" w:eastAsia="zh-CN"/>
              </w:rPr>
              <w:t>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年</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月</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lang w:val="en-US" w:eastAsia="zh-CN"/>
              </w:rPr>
              <w:t>日生产</w:t>
            </w:r>
            <w:r>
              <w:rPr>
                <w:rFonts w:hint="eastAsia" w:ascii="Times New Roman" w:hAnsi="Times New Roman" w:cs="Times New Roman" w:eastAsiaTheme="minorEastAsia"/>
                <w:color w:val="auto"/>
                <w:sz w:val="24"/>
                <w:szCs w:val="24"/>
                <w:lang w:val="en-US" w:eastAsia="zh-CN"/>
              </w:rPr>
              <w:t>13.2</w:t>
            </w:r>
            <w:r>
              <w:rPr>
                <w:rFonts w:hint="eastAsia" w:ascii="Times New Roman" w:hAnsi="Times New Roman" w:eastAsia="宋体" w:cs="Times New Roman"/>
                <w:bCs/>
                <w:color w:val="auto"/>
                <w:sz w:val="24"/>
                <w:lang w:val="en-US" w:eastAsia="zh-CN"/>
              </w:rPr>
              <w:t>万</w:t>
            </w:r>
            <w:r>
              <w:rPr>
                <w:rFonts w:hint="default" w:ascii="Times New Roman" w:hAnsi="Times New Roman" w:eastAsia="宋体" w:cs="Times New Roman"/>
                <w:bCs/>
                <w:color w:val="auto"/>
                <w:sz w:val="24"/>
                <w:lang w:eastAsia="zh-CN"/>
              </w:rPr>
              <w:t>平万米PVC保护膜</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年</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月</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lang w:val="en-US" w:eastAsia="zh-CN"/>
              </w:rPr>
              <w:t>日生产</w:t>
            </w:r>
            <w:r>
              <w:rPr>
                <w:rFonts w:hint="eastAsia" w:ascii="Times New Roman" w:hAnsi="Times New Roman" w:cs="Times New Roman" w:eastAsiaTheme="minorEastAsia"/>
                <w:color w:val="auto"/>
                <w:sz w:val="24"/>
                <w:szCs w:val="24"/>
                <w:lang w:val="en-US" w:eastAsia="zh-CN"/>
              </w:rPr>
              <w:t>13.0</w:t>
            </w:r>
            <w:r>
              <w:rPr>
                <w:rFonts w:hint="eastAsia" w:ascii="Times New Roman" w:hAnsi="Times New Roman" w:eastAsia="宋体" w:cs="Times New Roman"/>
                <w:bCs/>
                <w:color w:val="auto"/>
                <w:sz w:val="24"/>
                <w:lang w:val="en-US" w:eastAsia="zh-CN"/>
              </w:rPr>
              <w:t>万</w:t>
            </w:r>
            <w:r>
              <w:rPr>
                <w:rFonts w:hint="default" w:ascii="Times New Roman" w:hAnsi="Times New Roman" w:eastAsia="宋体" w:cs="Times New Roman"/>
                <w:bCs/>
                <w:color w:val="auto"/>
                <w:sz w:val="24"/>
                <w:lang w:eastAsia="zh-CN"/>
              </w:rPr>
              <w:t>平万米PVC保护膜</w:t>
            </w:r>
            <w:r>
              <w:rPr>
                <w:rFonts w:hint="default" w:ascii="Times New Roman" w:hAnsi="Times New Roman" w:eastAsia="宋体" w:cs="Times New Roman"/>
                <w:color w:val="auto"/>
                <w:sz w:val="24"/>
                <w:szCs w:val="24"/>
                <w:lang w:val="en-US" w:eastAsia="zh-CN"/>
              </w:rPr>
              <w:t>。</w:t>
            </w:r>
          </w:p>
        </w:tc>
      </w:tr>
      <w:tr w14:paraId="378A53FE">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0" w:hRule="atLeast"/>
          <w:jc w:val="center"/>
        </w:trPr>
        <w:tc>
          <w:tcPr>
            <w:tcW w:w="8522" w:type="dxa"/>
            <w:tcBorders>
              <w:tl2br w:val="nil"/>
              <w:tr2bl w:val="nil"/>
            </w:tcBorders>
            <w:noWrap w:val="0"/>
            <w:vAlign w:val="top"/>
          </w:tcPr>
          <w:p w14:paraId="59E3D16C">
            <w:pPr>
              <w:pageBreakBefore w:val="0"/>
              <w:kinsoku/>
              <w:wordWrap/>
              <w:overflowPunct/>
              <w:topLinePunct w:val="0"/>
              <w:bidi w:val="0"/>
              <w:spacing w:after="0" w:line="360" w:lineRule="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7.2</w:t>
            </w:r>
            <w:r>
              <w:rPr>
                <w:rFonts w:hint="default" w:ascii="Times New Roman" w:hAnsi="Times New Roman" w:eastAsia="宋体" w:cs="Times New Roman"/>
                <w:b/>
                <w:bCs/>
                <w:color w:val="auto"/>
                <w:sz w:val="24"/>
                <w:szCs w:val="24"/>
              </w:rPr>
              <w:t>验收监测结果</w:t>
            </w:r>
          </w:p>
          <w:p w14:paraId="61F40F95">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7.2.1</w:t>
            </w:r>
            <w:r>
              <w:rPr>
                <w:rFonts w:hint="default" w:ascii="Times New Roman" w:hAnsi="Times New Roman" w:eastAsia="宋体" w:cs="Times New Roman"/>
                <w:color w:val="auto"/>
                <w:sz w:val="24"/>
                <w:szCs w:val="24"/>
                <w:lang w:val="en-US" w:eastAsia="zh-CN"/>
              </w:rPr>
              <w:t>废气</w:t>
            </w:r>
          </w:p>
          <w:p w14:paraId="0E018AE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1、废气</w:t>
            </w:r>
            <w:r>
              <w:rPr>
                <w:rFonts w:hint="default" w:ascii="Times New Roman" w:hAnsi="Times New Roman" w:eastAsia="宋体" w:cs="Times New Roman"/>
                <w:color w:val="auto"/>
                <w:sz w:val="24"/>
                <w:szCs w:val="24"/>
                <w:lang w:val="en-US" w:eastAsia="zh-CN"/>
              </w:rPr>
              <w:t>监测结果</w:t>
            </w:r>
          </w:p>
          <w:p w14:paraId="0393AF2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auto"/>
                <w:sz w:val="24"/>
                <w:szCs w:val="24"/>
                <w:lang w:val="en-US" w:eastAsia="zh-CN"/>
              </w:rPr>
              <w:t>按照验收监测方案，验收</w:t>
            </w:r>
            <w:r>
              <w:rPr>
                <w:rFonts w:hint="eastAsia" w:ascii="Times New Roman" w:hAnsi="Times New Roman" w:eastAsia="宋体" w:cs="Times New Roman"/>
                <w:color w:val="auto"/>
                <w:sz w:val="24"/>
                <w:szCs w:val="24"/>
                <w:lang w:val="en-US" w:eastAsia="zh-CN"/>
              </w:rPr>
              <w:t>检</w:t>
            </w:r>
            <w:r>
              <w:rPr>
                <w:rFonts w:hint="default" w:ascii="Times New Roman" w:hAnsi="Times New Roman" w:eastAsia="宋体" w:cs="Times New Roman"/>
                <w:color w:val="auto"/>
                <w:sz w:val="24"/>
                <w:szCs w:val="24"/>
                <w:lang w:val="en-US" w:eastAsia="zh-CN"/>
              </w:rPr>
              <w:t>测单位于202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年</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月</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lang w:val="en-US" w:eastAsia="zh-CN"/>
              </w:rPr>
              <w:t>日对该项目废气进行采样检测。有组织废气检测项目为</w:t>
            </w:r>
            <w:r>
              <w:rPr>
                <w:rFonts w:hint="eastAsia" w:ascii="Times New Roman" w:hAnsi="Times New Roman" w:eastAsia="宋体" w:cs="Times New Roman"/>
                <w:color w:val="auto"/>
                <w:sz w:val="24"/>
                <w:szCs w:val="24"/>
                <w:lang w:val="en-US" w:eastAsia="zh-CN"/>
              </w:rPr>
              <w:t>非甲烷总烃和甲醇，无组织废气</w:t>
            </w:r>
            <w:r>
              <w:rPr>
                <w:rFonts w:hint="default" w:ascii="Times New Roman" w:hAnsi="Times New Roman" w:eastAsia="宋体" w:cs="Times New Roman"/>
                <w:color w:val="auto"/>
                <w:sz w:val="24"/>
                <w:szCs w:val="24"/>
                <w:lang w:val="en-US" w:eastAsia="zh-CN"/>
              </w:rPr>
              <w:t>检测项目为</w:t>
            </w:r>
            <w:r>
              <w:rPr>
                <w:rFonts w:hint="eastAsia" w:ascii="Times New Roman" w:hAnsi="Times New Roman" w:eastAsia="宋体" w:cs="Times New Roman"/>
                <w:color w:val="auto"/>
                <w:sz w:val="24"/>
                <w:szCs w:val="24"/>
                <w:lang w:val="en-US" w:eastAsia="zh-CN"/>
              </w:rPr>
              <w:t>厂界非甲烷总烃和甲醇、厂区内非甲烷总烃</w:t>
            </w:r>
            <w:r>
              <w:rPr>
                <w:rFonts w:hint="default" w:ascii="Times New Roman" w:hAnsi="Times New Roman" w:eastAsia="宋体" w:cs="Times New Roman"/>
                <w:color w:val="auto"/>
                <w:sz w:val="24"/>
                <w:szCs w:val="24"/>
                <w:lang w:val="en-US" w:eastAsia="zh-CN"/>
              </w:rPr>
              <w:t>。检测结果见下表7-</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、7-</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w:t>
            </w:r>
          </w:p>
          <w:p w14:paraId="4177A92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表7-</w:t>
            </w:r>
            <w:r>
              <w:rPr>
                <w:rFonts w:hint="eastAsia" w:ascii="Times New Roman" w:hAnsi="Times New Roman" w:eastAsia="宋体" w:cs="Times New Roman"/>
                <w:b/>
                <w:bCs/>
                <w:color w:val="auto"/>
                <w:sz w:val="21"/>
                <w:szCs w:val="21"/>
                <w:lang w:val="en-US" w:eastAsia="zh-CN"/>
              </w:rPr>
              <w:t>1</w:t>
            </w:r>
            <w:r>
              <w:rPr>
                <w:rFonts w:hint="default" w:ascii="Times New Roman" w:hAnsi="Times New Roman" w:eastAsia="宋体" w:cs="Times New Roman"/>
                <w:b/>
                <w:bCs/>
                <w:color w:val="auto"/>
                <w:sz w:val="21"/>
                <w:szCs w:val="21"/>
                <w:lang w:val="en-US" w:eastAsia="zh-CN"/>
              </w:rPr>
              <w:t xml:space="preserve"> 有组织废气检测一览表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42"/>
              <w:gridCol w:w="839"/>
              <w:gridCol w:w="980"/>
              <w:gridCol w:w="1056"/>
              <w:gridCol w:w="1016"/>
              <w:gridCol w:w="1035"/>
              <w:gridCol w:w="1300"/>
              <w:gridCol w:w="735"/>
            </w:tblGrid>
            <w:tr w14:paraId="16268D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6" w:type="pct"/>
                  <w:tcBorders>
                    <w:tl2br w:val="nil"/>
                    <w:tr2bl w:val="nil"/>
                  </w:tcBorders>
                  <w:vAlign w:val="center"/>
                </w:tcPr>
                <w:p w14:paraId="0D7AE2B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w:t>
                  </w:r>
                </w:p>
                <w:p w14:paraId="714B4A6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位置</w:t>
                  </w:r>
                </w:p>
              </w:tc>
              <w:tc>
                <w:tcPr>
                  <w:tcW w:w="523" w:type="pct"/>
                  <w:tcBorders>
                    <w:tl2br w:val="nil"/>
                    <w:tr2bl w:val="nil"/>
                  </w:tcBorders>
                  <w:vAlign w:val="center"/>
                </w:tcPr>
                <w:p w14:paraId="1714EB0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w:t>
                  </w:r>
                </w:p>
                <w:p w14:paraId="424AAF1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项目</w:t>
                  </w:r>
                </w:p>
              </w:tc>
              <w:tc>
                <w:tcPr>
                  <w:tcW w:w="607" w:type="pct"/>
                  <w:tcBorders>
                    <w:tl2br w:val="nil"/>
                    <w:tr2bl w:val="nil"/>
                  </w:tcBorders>
                  <w:vAlign w:val="center"/>
                </w:tcPr>
                <w:p w14:paraId="5C35DBB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频次</w:t>
                  </w:r>
                </w:p>
              </w:tc>
              <w:tc>
                <w:tcPr>
                  <w:tcW w:w="653" w:type="pct"/>
                  <w:tcBorders>
                    <w:tl2br w:val="nil"/>
                    <w:tr2bl w:val="nil"/>
                  </w:tcBorders>
                  <w:vAlign w:val="center"/>
                </w:tcPr>
                <w:p w14:paraId="31FDE61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折算浓度(mg/m</w:t>
                  </w:r>
                  <w:r>
                    <w:rPr>
                      <w:rFonts w:hint="default" w:ascii="Times New Roman" w:hAnsi="Times New Roman" w:eastAsia="宋体" w:cs="Times New Roman"/>
                      <w:b/>
                      <w:bCs/>
                      <w:color w:val="auto"/>
                      <w:sz w:val="21"/>
                      <w:szCs w:val="21"/>
                      <w:vertAlign w:val="superscript"/>
                      <w:lang w:val="en-US" w:eastAsia="zh-CN"/>
                    </w:rPr>
                    <w:t>3</w:t>
                  </w:r>
                  <w:r>
                    <w:rPr>
                      <w:rFonts w:hint="default" w:ascii="Times New Roman" w:hAnsi="Times New Roman" w:eastAsia="宋体" w:cs="Times New Roman"/>
                      <w:b/>
                      <w:bCs/>
                      <w:color w:val="auto"/>
                      <w:sz w:val="21"/>
                      <w:szCs w:val="21"/>
                      <w:lang w:val="en-US" w:eastAsia="zh-CN"/>
                    </w:rPr>
                    <w:t>)</w:t>
                  </w:r>
                </w:p>
              </w:tc>
              <w:tc>
                <w:tcPr>
                  <w:tcW w:w="629" w:type="pct"/>
                  <w:tcBorders>
                    <w:tl2br w:val="nil"/>
                    <w:tr2bl w:val="nil"/>
                  </w:tcBorders>
                  <w:vAlign w:val="center"/>
                </w:tcPr>
                <w:p w14:paraId="2329721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标干流量(</w:t>
                  </w:r>
                  <w:r>
                    <w:rPr>
                      <w:rFonts w:hint="default" w:ascii="Times New Roman" w:hAnsi="Times New Roman" w:eastAsia="宋体" w:cs="Times New Roman"/>
                      <w:b/>
                      <w:bCs/>
                      <w:color w:val="auto"/>
                      <w:sz w:val="21"/>
                      <w:szCs w:val="21"/>
                      <w:lang w:val="zh-CN" w:eastAsia="zh-CN"/>
                    </w:rPr>
                    <w:t>m</w:t>
                  </w:r>
                  <w:r>
                    <w:rPr>
                      <w:rFonts w:hint="default" w:ascii="Times New Roman" w:hAnsi="Times New Roman" w:eastAsia="宋体" w:cs="Times New Roman"/>
                      <w:b/>
                      <w:bCs/>
                      <w:color w:val="auto"/>
                      <w:sz w:val="21"/>
                      <w:szCs w:val="21"/>
                      <w:vertAlign w:val="superscript"/>
                      <w:lang w:val="zh-CN" w:eastAsia="zh-CN"/>
                    </w:rPr>
                    <w:t>3</w:t>
                  </w:r>
                  <w:r>
                    <w:rPr>
                      <w:rFonts w:hint="default" w:ascii="Times New Roman" w:hAnsi="Times New Roman" w:eastAsia="宋体" w:cs="Times New Roman"/>
                      <w:b/>
                      <w:bCs/>
                      <w:color w:val="auto"/>
                      <w:sz w:val="21"/>
                      <w:szCs w:val="21"/>
                      <w:lang w:val="zh-CN" w:eastAsia="zh-CN"/>
                    </w:rPr>
                    <w:t>/h</w:t>
                  </w:r>
                  <w:r>
                    <w:rPr>
                      <w:rFonts w:hint="default" w:ascii="Times New Roman" w:hAnsi="Times New Roman" w:eastAsia="宋体" w:cs="Times New Roman"/>
                      <w:b/>
                      <w:bCs/>
                      <w:color w:val="auto"/>
                      <w:sz w:val="21"/>
                      <w:szCs w:val="21"/>
                      <w:lang w:val="en-US" w:eastAsia="zh-CN"/>
                    </w:rPr>
                    <w:t>)</w:t>
                  </w:r>
                </w:p>
              </w:tc>
              <w:tc>
                <w:tcPr>
                  <w:tcW w:w="625" w:type="pct"/>
                  <w:tcBorders>
                    <w:tl2br w:val="nil"/>
                    <w:tr2bl w:val="nil"/>
                  </w:tcBorders>
                  <w:vAlign w:val="center"/>
                </w:tcPr>
                <w:p w14:paraId="74E3851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排放速*率（kg/h）</w:t>
                  </w:r>
                </w:p>
              </w:tc>
              <w:tc>
                <w:tcPr>
                  <w:tcW w:w="659" w:type="pct"/>
                  <w:tcBorders>
                    <w:tl2br w:val="nil"/>
                    <w:tr2bl w:val="nil"/>
                  </w:tcBorders>
                  <w:vAlign w:val="center"/>
                </w:tcPr>
                <w:p w14:paraId="07D1201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限值</w:t>
                  </w:r>
                </w:p>
              </w:tc>
              <w:tc>
                <w:tcPr>
                  <w:tcW w:w="475" w:type="pct"/>
                  <w:tcBorders>
                    <w:tl2br w:val="nil"/>
                    <w:tr2bl w:val="nil"/>
                  </w:tcBorders>
                  <w:vAlign w:val="center"/>
                </w:tcPr>
                <w:p w14:paraId="0F08075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达标情况</w:t>
                  </w:r>
                </w:p>
              </w:tc>
            </w:tr>
            <w:tr w14:paraId="43210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826" w:type="pct"/>
                  <w:vMerge w:val="restart"/>
                  <w:tcBorders>
                    <w:tl2br w:val="nil"/>
                    <w:tr2bl w:val="nil"/>
                  </w:tcBorders>
                  <w:vAlign w:val="center"/>
                </w:tcPr>
                <w:p w14:paraId="6EDF681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配胶、涂布、印刷</w:t>
                  </w:r>
                  <w:r>
                    <w:rPr>
                      <w:rFonts w:hint="eastAsia" w:ascii="Times New Roman" w:hAnsi="Times New Roman" w:eastAsia="宋体" w:cs="Times New Roman"/>
                      <w:i w:val="0"/>
                      <w:iCs w:val="0"/>
                      <w:color w:val="auto"/>
                      <w:kern w:val="0"/>
                      <w:sz w:val="21"/>
                      <w:szCs w:val="21"/>
                      <w:u w:val="none"/>
                      <w:lang w:val="en-US" w:eastAsia="zh-CN" w:bidi="ar"/>
                    </w:rPr>
                    <w:t>及</w:t>
                  </w:r>
                  <w:r>
                    <w:rPr>
                      <w:rFonts w:hint="default" w:ascii="Times New Roman" w:hAnsi="Times New Roman" w:eastAsia="宋体" w:cs="Times New Roman"/>
                      <w:i w:val="0"/>
                      <w:iCs w:val="0"/>
                      <w:color w:val="auto"/>
                      <w:kern w:val="0"/>
                      <w:sz w:val="21"/>
                      <w:szCs w:val="21"/>
                      <w:u w:val="none"/>
                      <w:lang w:val="en-US" w:eastAsia="zh-CN" w:bidi="ar"/>
                    </w:rPr>
                    <w:t>烘干废气</w:t>
                  </w:r>
                  <w:r>
                    <w:rPr>
                      <w:rFonts w:hint="eastAsia" w:ascii="Times New Roman" w:hAnsi="Times New Roman" w:eastAsia="宋体" w:cs="Times New Roman"/>
                      <w:i w:val="0"/>
                      <w:iCs w:val="0"/>
                      <w:color w:val="auto"/>
                      <w:kern w:val="0"/>
                      <w:sz w:val="21"/>
                      <w:szCs w:val="21"/>
                      <w:u w:val="none"/>
                      <w:lang w:val="en-US" w:eastAsia="zh-CN" w:bidi="ar"/>
                    </w:rPr>
                    <w:t>处理设施后端</w:t>
                  </w:r>
                  <w:r>
                    <w:rPr>
                      <w:rFonts w:hint="default" w:ascii="Times New Roman" w:hAnsi="Times New Roman" w:eastAsia="宋体" w:cs="Times New Roman"/>
                      <w:color w:val="auto"/>
                      <w:sz w:val="21"/>
                      <w:szCs w:val="21"/>
                      <w:lang w:val="en-US" w:eastAsia="zh-CN"/>
                    </w:rPr>
                    <w:t>（DA001）</w:t>
                  </w:r>
                </w:p>
                <w:p w14:paraId="7ED9773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1.10</w:t>
                  </w:r>
                </w:p>
              </w:tc>
              <w:tc>
                <w:tcPr>
                  <w:tcW w:w="523" w:type="pct"/>
                  <w:vMerge w:val="restart"/>
                  <w:tcBorders>
                    <w:tl2br w:val="nil"/>
                    <w:tr2bl w:val="nil"/>
                  </w:tcBorders>
                  <w:vAlign w:val="center"/>
                </w:tcPr>
                <w:p w14:paraId="16F0818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非甲烷总烃</w:t>
                  </w:r>
                </w:p>
              </w:tc>
              <w:tc>
                <w:tcPr>
                  <w:tcW w:w="607" w:type="pct"/>
                  <w:tcBorders>
                    <w:tl2br w:val="nil"/>
                    <w:tr2bl w:val="nil"/>
                  </w:tcBorders>
                  <w:vAlign w:val="center"/>
                </w:tcPr>
                <w:p w14:paraId="416978A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第一次</w:t>
                  </w:r>
                </w:p>
              </w:tc>
              <w:tc>
                <w:tcPr>
                  <w:tcW w:w="653" w:type="pct"/>
                  <w:tcBorders>
                    <w:tl2br w:val="nil"/>
                    <w:tr2bl w:val="nil"/>
                  </w:tcBorders>
                  <w:vAlign w:val="center"/>
                </w:tcPr>
                <w:p w14:paraId="24B9327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41.2</w:t>
                  </w:r>
                </w:p>
              </w:tc>
              <w:tc>
                <w:tcPr>
                  <w:tcW w:w="629" w:type="pct"/>
                  <w:tcBorders>
                    <w:tl2br w:val="nil"/>
                    <w:tr2bl w:val="nil"/>
                  </w:tcBorders>
                  <w:vAlign w:val="center"/>
                </w:tcPr>
                <w:p w14:paraId="50E1766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18885</w:t>
                  </w:r>
                </w:p>
              </w:tc>
              <w:tc>
                <w:tcPr>
                  <w:tcW w:w="625" w:type="pct"/>
                  <w:tcBorders>
                    <w:tl2br w:val="nil"/>
                    <w:tr2bl w:val="nil"/>
                  </w:tcBorders>
                  <w:vAlign w:val="center"/>
                </w:tcPr>
                <w:p w14:paraId="5CB51D6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0.778</w:t>
                  </w:r>
                </w:p>
              </w:tc>
              <w:tc>
                <w:tcPr>
                  <w:tcW w:w="659" w:type="pct"/>
                  <w:vMerge w:val="restart"/>
                  <w:tcBorders>
                    <w:tl2br w:val="nil"/>
                    <w:tr2bl w:val="nil"/>
                  </w:tcBorders>
                  <w:vAlign w:val="center"/>
                </w:tcPr>
                <w:p w14:paraId="01B94C8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120mg/m</w:t>
                  </w:r>
                  <w:r>
                    <w:rPr>
                      <w:rFonts w:hint="default" w:ascii="Times New Roman" w:hAnsi="Times New Roman" w:eastAsia="宋体" w:cs="Times New Roman"/>
                      <w:b w:val="0"/>
                      <w:bCs w:val="0"/>
                      <w:color w:val="auto"/>
                      <w:spacing w:val="0"/>
                      <w:position w:val="0"/>
                      <w:sz w:val="21"/>
                      <w:szCs w:val="21"/>
                      <w:vertAlign w:val="superscript"/>
                      <w:lang w:val="en-US" w:eastAsia="zh-CN"/>
                    </w:rPr>
                    <w:t>3</w:t>
                  </w:r>
                  <w:r>
                    <w:rPr>
                      <w:rFonts w:hint="eastAsia" w:ascii="Times New Roman" w:hAnsi="Times New Roman" w:eastAsia="宋体" w:cs="Times New Roman"/>
                      <w:b w:val="0"/>
                      <w:bCs w:val="0"/>
                      <w:color w:val="auto"/>
                      <w:spacing w:val="0"/>
                      <w:position w:val="0"/>
                      <w:sz w:val="21"/>
                      <w:szCs w:val="21"/>
                      <w:lang w:val="en-US" w:eastAsia="zh-CN"/>
                    </w:rPr>
                    <w:t>；10kg/h</w:t>
                  </w:r>
                </w:p>
              </w:tc>
              <w:tc>
                <w:tcPr>
                  <w:tcW w:w="475" w:type="pct"/>
                  <w:tcBorders>
                    <w:tl2br w:val="nil"/>
                    <w:tr2bl w:val="nil"/>
                  </w:tcBorders>
                  <w:vAlign w:val="center"/>
                </w:tcPr>
                <w:p w14:paraId="015010A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417A1E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7520BBB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77B57E2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vAlign w:val="center"/>
                </w:tcPr>
                <w:p w14:paraId="56A30AB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第二次</w:t>
                  </w:r>
                </w:p>
              </w:tc>
              <w:tc>
                <w:tcPr>
                  <w:tcW w:w="653" w:type="pct"/>
                  <w:tcBorders>
                    <w:tl2br w:val="nil"/>
                    <w:tr2bl w:val="nil"/>
                  </w:tcBorders>
                  <w:vAlign w:val="center"/>
                </w:tcPr>
                <w:p w14:paraId="686AB09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37.3</w:t>
                  </w:r>
                </w:p>
              </w:tc>
              <w:tc>
                <w:tcPr>
                  <w:tcW w:w="629" w:type="pct"/>
                  <w:tcBorders>
                    <w:tl2br w:val="nil"/>
                    <w:tr2bl w:val="nil"/>
                  </w:tcBorders>
                  <w:vAlign w:val="center"/>
                </w:tcPr>
                <w:p w14:paraId="733BB3E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19038</w:t>
                  </w:r>
                </w:p>
              </w:tc>
              <w:tc>
                <w:tcPr>
                  <w:tcW w:w="625" w:type="pct"/>
                  <w:tcBorders>
                    <w:tl2br w:val="nil"/>
                    <w:tr2bl w:val="nil"/>
                  </w:tcBorders>
                  <w:vAlign w:val="center"/>
                </w:tcPr>
                <w:p w14:paraId="7FB5C16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0.710</w:t>
                  </w:r>
                </w:p>
              </w:tc>
              <w:tc>
                <w:tcPr>
                  <w:tcW w:w="659" w:type="pct"/>
                  <w:vMerge w:val="continue"/>
                  <w:tcBorders>
                    <w:tl2br w:val="nil"/>
                    <w:tr2bl w:val="nil"/>
                  </w:tcBorders>
                  <w:vAlign w:val="center"/>
                </w:tcPr>
                <w:p w14:paraId="0E10EFD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vAlign w:val="center"/>
                </w:tcPr>
                <w:p w14:paraId="6EB7556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7E9E70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590B8DF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4899075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vAlign w:val="center"/>
                </w:tcPr>
                <w:p w14:paraId="785E02F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第三次</w:t>
                  </w:r>
                </w:p>
              </w:tc>
              <w:tc>
                <w:tcPr>
                  <w:tcW w:w="653" w:type="pct"/>
                  <w:tcBorders>
                    <w:tl2br w:val="nil"/>
                    <w:tr2bl w:val="nil"/>
                  </w:tcBorders>
                  <w:vAlign w:val="center"/>
                </w:tcPr>
                <w:p w14:paraId="5D7A92F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36.9</w:t>
                  </w:r>
                </w:p>
              </w:tc>
              <w:tc>
                <w:tcPr>
                  <w:tcW w:w="629" w:type="pct"/>
                  <w:tcBorders>
                    <w:tl2br w:val="nil"/>
                    <w:tr2bl w:val="nil"/>
                  </w:tcBorders>
                  <w:vAlign w:val="center"/>
                </w:tcPr>
                <w:p w14:paraId="697E143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17210</w:t>
                  </w:r>
                </w:p>
              </w:tc>
              <w:tc>
                <w:tcPr>
                  <w:tcW w:w="625" w:type="pct"/>
                  <w:tcBorders>
                    <w:tl2br w:val="nil"/>
                    <w:tr2bl w:val="nil"/>
                  </w:tcBorders>
                  <w:vAlign w:val="center"/>
                </w:tcPr>
                <w:p w14:paraId="3375E33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0.635</w:t>
                  </w:r>
                </w:p>
              </w:tc>
              <w:tc>
                <w:tcPr>
                  <w:tcW w:w="659" w:type="pct"/>
                  <w:vMerge w:val="continue"/>
                  <w:tcBorders>
                    <w:tl2br w:val="nil"/>
                    <w:tr2bl w:val="nil"/>
                  </w:tcBorders>
                  <w:vAlign w:val="center"/>
                </w:tcPr>
                <w:p w14:paraId="5F6E7B2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vAlign w:val="center"/>
                </w:tcPr>
                <w:p w14:paraId="5110715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63F2D4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65633E0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6EB3935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vAlign w:val="center"/>
                </w:tcPr>
                <w:p w14:paraId="3D0582B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均值</w:t>
                  </w:r>
                </w:p>
              </w:tc>
              <w:tc>
                <w:tcPr>
                  <w:tcW w:w="653" w:type="pct"/>
                  <w:tcBorders>
                    <w:tl2br w:val="nil"/>
                    <w:tr2bl w:val="nil"/>
                  </w:tcBorders>
                  <w:vAlign w:val="center"/>
                </w:tcPr>
                <w:p w14:paraId="7B1ADB6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38.5</w:t>
                  </w:r>
                </w:p>
              </w:tc>
              <w:tc>
                <w:tcPr>
                  <w:tcW w:w="629" w:type="pct"/>
                  <w:tcBorders>
                    <w:tl2br w:val="nil"/>
                    <w:tr2bl w:val="nil"/>
                  </w:tcBorders>
                  <w:vAlign w:val="center"/>
                </w:tcPr>
                <w:p w14:paraId="2E7B68F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18378</w:t>
                  </w:r>
                </w:p>
              </w:tc>
              <w:tc>
                <w:tcPr>
                  <w:tcW w:w="625" w:type="pct"/>
                  <w:tcBorders>
                    <w:tl2br w:val="nil"/>
                    <w:tr2bl w:val="nil"/>
                  </w:tcBorders>
                  <w:vAlign w:val="center"/>
                </w:tcPr>
                <w:p w14:paraId="1A0C01E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0.708</w:t>
                  </w:r>
                </w:p>
              </w:tc>
              <w:tc>
                <w:tcPr>
                  <w:tcW w:w="659" w:type="pct"/>
                  <w:vMerge w:val="continue"/>
                  <w:tcBorders>
                    <w:tl2br w:val="nil"/>
                    <w:tr2bl w:val="nil"/>
                  </w:tcBorders>
                  <w:vAlign w:val="center"/>
                </w:tcPr>
                <w:p w14:paraId="12441F5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vAlign w:val="center"/>
                </w:tcPr>
                <w:p w14:paraId="709B3AB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0E2418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1249BC8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restart"/>
                  <w:tcBorders>
                    <w:tl2br w:val="nil"/>
                    <w:tr2bl w:val="nil"/>
                  </w:tcBorders>
                  <w:vAlign w:val="center"/>
                </w:tcPr>
                <w:p w14:paraId="290FFCC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甲醇</w:t>
                  </w:r>
                </w:p>
              </w:tc>
              <w:tc>
                <w:tcPr>
                  <w:tcW w:w="607" w:type="pct"/>
                  <w:tcBorders>
                    <w:tl2br w:val="nil"/>
                    <w:tr2bl w:val="nil"/>
                  </w:tcBorders>
                  <w:shd w:val="clear" w:color="auto" w:fill="auto"/>
                  <w:vAlign w:val="center"/>
                </w:tcPr>
                <w:p w14:paraId="7FC7456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第一次</w:t>
                  </w:r>
                </w:p>
              </w:tc>
              <w:tc>
                <w:tcPr>
                  <w:tcW w:w="653" w:type="pct"/>
                  <w:tcBorders>
                    <w:tl2br w:val="nil"/>
                    <w:tr2bl w:val="nil"/>
                  </w:tcBorders>
                  <w:vAlign w:val="center"/>
                </w:tcPr>
                <w:p w14:paraId="4AB114D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32.5</w:t>
                  </w:r>
                </w:p>
              </w:tc>
              <w:tc>
                <w:tcPr>
                  <w:tcW w:w="629" w:type="pct"/>
                  <w:tcBorders>
                    <w:tl2br w:val="nil"/>
                    <w:tr2bl w:val="nil"/>
                  </w:tcBorders>
                  <w:vAlign w:val="center"/>
                </w:tcPr>
                <w:p w14:paraId="77509B9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18885</w:t>
                  </w:r>
                </w:p>
              </w:tc>
              <w:tc>
                <w:tcPr>
                  <w:tcW w:w="625" w:type="pct"/>
                  <w:tcBorders>
                    <w:tl2br w:val="nil"/>
                    <w:tr2bl w:val="nil"/>
                  </w:tcBorders>
                  <w:vAlign w:val="center"/>
                </w:tcPr>
                <w:p w14:paraId="128A6AA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0.614</w:t>
                  </w:r>
                </w:p>
              </w:tc>
              <w:tc>
                <w:tcPr>
                  <w:tcW w:w="659" w:type="pct"/>
                  <w:vMerge w:val="restart"/>
                  <w:tcBorders>
                    <w:tl2br w:val="nil"/>
                    <w:tr2bl w:val="nil"/>
                  </w:tcBorders>
                  <w:vAlign w:val="center"/>
                </w:tcPr>
                <w:p w14:paraId="0BBA540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w:t>
                  </w:r>
                  <w:r>
                    <w:rPr>
                      <w:rFonts w:hint="eastAsia" w:ascii="Times New Roman" w:hAnsi="Times New Roman" w:eastAsia="宋体" w:cs="Times New Roman"/>
                      <w:b w:val="0"/>
                      <w:bCs w:val="0"/>
                      <w:color w:val="auto"/>
                      <w:spacing w:val="0"/>
                      <w:position w:val="0"/>
                      <w:sz w:val="21"/>
                      <w:szCs w:val="21"/>
                      <w:lang w:val="en-US" w:eastAsia="zh-CN"/>
                    </w:rPr>
                    <w:t>9</w:t>
                  </w:r>
                  <w:r>
                    <w:rPr>
                      <w:rFonts w:hint="default" w:ascii="Times New Roman" w:hAnsi="Times New Roman" w:eastAsia="宋体" w:cs="Times New Roman"/>
                      <w:b w:val="0"/>
                      <w:bCs w:val="0"/>
                      <w:color w:val="auto"/>
                      <w:spacing w:val="0"/>
                      <w:position w:val="0"/>
                      <w:sz w:val="21"/>
                      <w:szCs w:val="21"/>
                      <w:lang w:val="en-US" w:eastAsia="zh-CN"/>
                    </w:rPr>
                    <w:t>0mg/m</w:t>
                  </w:r>
                  <w:r>
                    <w:rPr>
                      <w:rFonts w:hint="default" w:ascii="Times New Roman" w:hAnsi="Times New Roman" w:eastAsia="宋体" w:cs="Times New Roman"/>
                      <w:b w:val="0"/>
                      <w:bCs w:val="0"/>
                      <w:color w:val="auto"/>
                      <w:spacing w:val="0"/>
                      <w:position w:val="0"/>
                      <w:sz w:val="21"/>
                      <w:szCs w:val="21"/>
                      <w:vertAlign w:val="superscript"/>
                      <w:lang w:val="en-US" w:eastAsia="zh-CN"/>
                    </w:rPr>
                    <w:t>3</w:t>
                  </w:r>
                  <w:r>
                    <w:rPr>
                      <w:rFonts w:hint="eastAsia" w:ascii="Times New Roman" w:hAnsi="Times New Roman" w:eastAsia="宋体" w:cs="Times New Roman"/>
                      <w:b w:val="0"/>
                      <w:bCs w:val="0"/>
                      <w:color w:val="auto"/>
                      <w:spacing w:val="0"/>
                      <w:position w:val="0"/>
                      <w:sz w:val="21"/>
                      <w:szCs w:val="21"/>
                      <w:lang w:val="en-US" w:eastAsia="zh-CN"/>
                    </w:rPr>
                    <w:t>；5.1kg/h</w:t>
                  </w:r>
                </w:p>
              </w:tc>
              <w:tc>
                <w:tcPr>
                  <w:tcW w:w="475" w:type="pct"/>
                  <w:tcBorders>
                    <w:tl2br w:val="nil"/>
                    <w:tr2bl w:val="nil"/>
                  </w:tcBorders>
                  <w:shd w:val="clear" w:color="auto" w:fill="auto"/>
                  <w:vAlign w:val="center"/>
                </w:tcPr>
                <w:p w14:paraId="77092BD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r w14:paraId="66087C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709CEF7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2D52E15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shd w:val="clear" w:color="auto" w:fill="auto"/>
                  <w:vAlign w:val="center"/>
                </w:tcPr>
                <w:p w14:paraId="202F619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第二次</w:t>
                  </w:r>
                </w:p>
              </w:tc>
              <w:tc>
                <w:tcPr>
                  <w:tcW w:w="653" w:type="pct"/>
                  <w:tcBorders>
                    <w:tl2br w:val="nil"/>
                    <w:tr2bl w:val="nil"/>
                  </w:tcBorders>
                  <w:vAlign w:val="center"/>
                </w:tcPr>
                <w:p w14:paraId="10E43B6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36.3</w:t>
                  </w:r>
                </w:p>
              </w:tc>
              <w:tc>
                <w:tcPr>
                  <w:tcW w:w="629" w:type="pct"/>
                  <w:tcBorders>
                    <w:tl2br w:val="nil"/>
                    <w:tr2bl w:val="nil"/>
                  </w:tcBorders>
                  <w:vAlign w:val="center"/>
                </w:tcPr>
                <w:p w14:paraId="1AF7661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19038</w:t>
                  </w:r>
                </w:p>
              </w:tc>
              <w:tc>
                <w:tcPr>
                  <w:tcW w:w="625" w:type="pct"/>
                  <w:tcBorders>
                    <w:tl2br w:val="nil"/>
                    <w:tr2bl w:val="nil"/>
                  </w:tcBorders>
                  <w:vAlign w:val="center"/>
                </w:tcPr>
                <w:p w14:paraId="7F29951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0.691</w:t>
                  </w:r>
                </w:p>
              </w:tc>
              <w:tc>
                <w:tcPr>
                  <w:tcW w:w="659" w:type="pct"/>
                  <w:vMerge w:val="continue"/>
                  <w:tcBorders>
                    <w:tl2br w:val="nil"/>
                    <w:tr2bl w:val="nil"/>
                  </w:tcBorders>
                  <w:vAlign w:val="center"/>
                </w:tcPr>
                <w:p w14:paraId="6852E8E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shd w:val="clear" w:color="auto" w:fill="auto"/>
                  <w:vAlign w:val="center"/>
                </w:tcPr>
                <w:p w14:paraId="31F00BC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r w14:paraId="675CE7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3DB4402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58A74CF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shd w:val="clear" w:color="auto" w:fill="auto"/>
                  <w:vAlign w:val="center"/>
                </w:tcPr>
                <w:p w14:paraId="633BDD9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第三次</w:t>
                  </w:r>
                </w:p>
              </w:tc>
              <w:tc>
                <w:tcPr>
                  <w:tcW w:w="653" w:type="pct"/>
                  <w:tcBorders>
                    <w:tl2br w:val="nil"/>
                    <w:tr2bl w:val="nil"/>
                  </w:tcBorders>
                  <w:vAlign w:val="center"/>
                </w:tcPr>
                <w:p w14:paraId="3328603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26.7</w:t>
                  </w:r>
                </w:p>
              </w:tc>
              <w:tc>
                <w:tcPr>
                  <w:tcW w:w="629" w:type="pct"/>
                  <w:tcBorders>
                    <w:tl2br w:val="nil"/>
                    <w:tr2bl w:val="nil"/>
                  </w:tcBorders>
                  <w:vAlign w:val="center"/>
                </w:tcPr>
                <w:p w14:paraId="7903AAC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17210</w:t>
                  </w:r>
                </w:p>
              </w:tc>
              <w:tc>
                <w:tcPr>
                  <w:tcW w:w="625" w:type="pct"/>
                  <w:tcBorders>
                    <w:tl2br w:val="nil"/>
                    <w:tr2bl w:val="nil"/>
                  </w:tcBorders>
                  <w:vAlign w:val="center"/>
                </w:tcPr>
                <w:p w14:paraId="3FB714F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0.460</w:t>
                  </w:r>
                </w:p>
              </w:tc>
              <w:tc>
                <w:tcPr>
                  <w:tcW w:w="659" w:type="pct"/>
                  <w:vMerge w:val="continue"/>
                  <w:tcBorders>
                    <w:tl2br w:val="nil"/>
                    <w:tr2bl w:val="nil"/>
                  </w:tcBorders>
                  <w:vAlign w:val="center"/>
                </w:tcPr>
                <w:p w14:paraId="6514F12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shd w:val="clear" w:color="auto" w:fill="auto"/>
                  <w:vAlign w:val="center"/>
                </w:tcPr>
                <w:p w14:paraId="38D5ABD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r w14:paraId="7B2C67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1A7EACA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3BBC8FC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shd w:val="clear" w:color="auto" w:fill="auto"/>
                  <w:vAlign w:val="center"/>
                </w:tcPr>
                <w:p w14:paraId="3DC403F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均值</w:t>
                  </w:r>
                </w:p>
              </w:tc>
              <w:tc>
                <w:tcPr>
                  <w:tcW w:w="653" w:type="pct"/>
                  <w:tcBorders>
                    <w:tl2br w:val="nil"/>
                    <w:tr2bl w:val="nil"/>
                  </w:tcBorders>
                  <w:vAlign w:val="center"/>
                </w:tcPr>
                <w:p w14:paraId="3691A4B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31.8</w:t>
                  </w:r>
                </w:p>
              </w:tc>
              <w:tc>
                <w:tcPr>
                  <w:tcW w:w="629" w:type="pct"/>
                  <w:tcBorders>
                    <w:tl2br w:val="nil"/>
                    <w:tr2bl w:val="nil"/>
                  </w:tcBorders>
                  <w:vAlign w:val="center"/>
                </w:tcPr>
                <w:p w14:paraId="4DA280B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18378</w:t>
                  </w:r>
                </w:p>
              </w:tc>
              <w:tc>
                <w:tcPr>
                  <w:tcW w:w="625" w:type="pct"/>
                  <w:tcBorders>
                    <w:tl2br w:val="nil"/>
                    <w:tr2bl w:val="nil"/>
                  </w:tcBorders>
                  <w:vAlign w:val="center"/>
                </w:tcPr>
                <w:p w14:paraId="741AEC4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0.588</w:t>
                  </w:r>
                </w:p>
              </w:tc>
              <w:tc>
                <w:tcPr>
                  <w:tcW w:w="659" w:type="pct"/>
                  <w:vMerge w:val="continue"/>
                  <w:tcBorders>
                    <w:tl2br w:val="nil"/>
                    <w:tr2bl w:val="nil"/>
                  </w:tcBorders>
                  <w:vAlign w:val="center"/>
                </w:tcPr>
                <w:p w14:paraId="073B363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shd w:val="clear" w:color="auto" w:fill="auto"/>
                  <w:vAlign w:val="center"/>
                </w:tcPr>
                <w:p w14:paraId="38AD901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r w14:paraId="463C2E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restart"/>
                  <w:tcBorders>
                    <w:tl2br w:val="nil"/>
                    <w:tr2bl w:val="nil"/>
                  </w:tcBorders>
                  <w:vAlign w:val="center"/>
                </w:tcPr>
                <w:p w14:paraId="20EEEFA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配胶、涂布、印刷</w:t>
                  </w:r>
                  <w:r>
                    <w:rPr>
                      <w:rFonts w:hint="eastAsia" w:ascii="Times New Roman" w:hAnsi="Times New Roman" w:eastAsia="宋体" w:cs="Times New Roman"/>
                      <w:i w:val="0"/>
                      <w:iCs w:val="0"/>
                      <w:color w:val="auto"/>
                      <w:kern w:val="0"/>
                      <w:sz w:val="21"/>
                      <w:szCs w:val="21"/>
                      <w:u w:val="none"/>
                      <w:lang w:val="en-US" w:eastAsia="zh-CN" w:bidi="ar"/>
                    </w:rPr>
                    <w:t>及</w:t>
                  </w:r>
                  <w:r>
                    <w:rPr>
                      <w:rFonts w:hint="default" w:ascii="Times New Roman" w:hAnsi="Times New Roman" w:eastAsia="宋体" w:cs="Times New Roman"/>
                      <w:i w:val="0"/>
                      <w:iCs w:val="0"/>
                      <w:color w:val="auto"/>
                      <w:kern w:val="0"/>
                      <w:sz w:val="21"/>
                      <w:szCs w:val="21"/>
                      <w:u w:val="none"/>
                      <w:lang w:val="en-US" w:eastAsia="zh-CN" w:bidi="ar"/>
                    </w:rPr>
                    <w:t>烘干废气</w:t>
                  </w:r>
                  <w:r>
                    <w:rPr>
                      <w:rFonts w:hint="eastAsia" w:ascii="Times New Roman" w:hAnsi="Times New Roman" w:eastAsia="宋体" w:cs="Times New Roman"/>
                      <w:i w:val="0"/>
                      <w:iCs w:val="0"/>
                      <w:color w:val="auto"/>
                      <w:kern w:val="0"/>
                      <w:sz w:val="21"/>
                      <w:szCs w:val="21"/>
                      <w:u w:val="none"/>
                      <w:lang w:val="en-US" w:eastAsia="zh-CN" w:bidi="ar"/>
                    </w:rPr>
                    <w:t>处理设施后端</w:t>
                  </w:r>
                  <w:r>
                    <w:rPr>
                      <w:rFonts w:hint="default" w:ascii="Times New Roman" w:hAnsi="Times New Roman" w:eastAsia="宋体" w:cs="Times New Roman"/>
                      <w:color w:val="auto"/>
                      <w:sz w:val="21"/>
                      <w:szCs w:val="21"/>
                      <w:lang w:val="en-US" w:eastAsia="zh-CN"/>
                    </w:rPr>
                    <w:t>（DA001）</w:t>
                  </w:r>
                </w:p>
                <w:p w14:paraId="36A84B5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1.11</w:t>
                  </w:r>
                </w:p>
              </w:tc>
              <w:tc>
                <w:tcPr>
                  <w:tcW w:w="523" w:type="pct"/>
                  <w:vMerge w:val="restart"/>
                  <w:tcBorders>
                    <w:tl2br w:val="nil"/>
                    <w:tr2bl w:val="nil"/>
                  </w:tcBorders>
                  <w:vAlign w:val="center"/>
                </w:tcPr>
                <w:p w14:paraId="2012883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非甲烷总烃</w:t>
                  </w:r>
                </w:p>
              </w:tc>
              <w:tc>
                <w:tcPr>
                  <w:tcW w:w="607" w:type="pct"/>
                  <w:tcBorders>
                    <w:tl2br w:val="nil"/>
                    <w:tr2bl w:val="nil"/>
                  </w:tcBorders>
                  <w:shd w:val="clear" w:color="auto" w:fill="auto"/>
                  <w:vAlign w:val="center"/>
                </w:tcPr>
                <w:p w14:paraId="3C5AD25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第一次</w:t>
                  </w:r>
                </w:p>
              </w:tc>
              <w:tc>
                <w:tcPr>
                  <w:tcW w:w="653" w:type="pct"/>
                  <w:tcBorders>
                    <w:tl2br w:val="nil"/>
                    <w:tr2bl w:val="nil"/>
                  </w:tcBorders>
                  <w:vAlign w:val="center"/>
                </w:tcPr>
                <w:p w14:paraId="06F4D76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55.4</w:t>
                  </w:r>
                </w:p>
              </w:tc>
              <w:tc>
                <w:tcPr>
                  <w:tcW w:w="629" w:type="pct"/>
                  <w:tcBorders>
                    <w:tl2br w:val="nil"/>
                    <w:tr2bl w:val="nil"/>
                  </w:tcBorders>
                  <w:vAlign w:val="center"/>
                </w:tcPr>
                <w:p w14:paraId="27E9A55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20587</w:t>
                  </w:r>
                </w:p>
              </w:tc>
              <w:tc>
                <w:tcPr>
                  <w:tcW w:w="625" w:type="pct"/>
                  <w:tcBorders>
                    <w:tl2br w:val="nil"/>
                    <w:tr2bl w:val="nil"/>
                  </w:tcBorders>
                  <w:vAlign w:val="center"/>
                </w:tcPr>
                <w:p w14:paraId="6CF9FF1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1.14</w:t>
                  </w:r>
                </w:p>
              </w:tc>
              <w:tc>
                <w:tcPr>
                  <w:tcW w:w="659" w:type="pct"/>
                  <w:vMerge w:val="restart"/>
                  <w:tcBorders>
                    <w:tl2br w:val="nil"/>
                    <w:tr2bl w:val="nil"/>
                  </w:tcBorders>
                  <w:vAlign w:val="center"/>
                </w:tcPr>
                <w:p w14:paraId="3BA2BBA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120mg/m</w:t>
                  </w:r>
                  <w:r>
                    <w:rPr>
                      <w:rFonts w:hint="default" w:ascii="Times New Roman" w:hAnsi="Times New Roman" w:eastAsia="宋体" w:cs="Times New Roman"/>
                      <w:b w:val="0"/>
                      <w:bCs w:val="0"/>
                      <w:color w:val="auto"/>
                      <w:spacing w:val="0"/>
                      <w:position w:val="0"/>
                      <w:sz w:val="21"/>
                      <w:szCs w:val="21"/>
                      <w:vertAlign w:val="superscript"/>
                      <w:lang w:val="en-US" w:eastAsia="zh-CN"/>
                    </w:rPr>
                    <w:t>3</w:t>
                  </w:r>
                  <w:r>
                    <w:rPr>
                      <w:rFonts w:hint="eastAsia" w:ascii="Times New Roman" w:hAnsi="Times New Roman" w:eastAsia="宋体" w:cs="Times New Roman"/>
                      <w:b w:val="0"/>
                      <w:bCs w:val="0"/>
                      <w:color w:val="auto"/>
                      <w:spacing w:val="0"/>
                      <w:position w:val="0"/>
                      <w:sz w:val="21"/>
                      <w:szCs w:val="21"/>
                      <w:lang w:val="en-US" w:eastAsia="zh-CN"/>
                    </w:rPr>
                    <w:t>；10kg/h</w:t>
                  </w:r>
                </w:p>
              </w:tc>
              <w:tc>
                <w:tcPr>
                  <w:tcW w:w="475" w:type="pct"/>
                  <w:tcBorders>
                    <w:tl2br w:val="nil"/>
                    <w:tr2bl w:val="nil"/>
                  </w:tcBorders>
                  <w:shd w:val="clear" w:color="auto" w:fill="auto"/>
                  <w:vAlign w:val="center"/>
                </w:tcPr>
                <w:p w14:paraId="03AAF97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r w14:paraId="659464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1682935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2D35D15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shd w:val="clear" w:color="auto" w:fill="auto"/>
                  <w:vAlign w:val="center"/>
                </w:tcPr>
                <w:p w14:paraId="3BB6747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第二次</w:t>
                  </w:r>
                </w:p>
              </w:tc>
              <w:tc>
                <w:tcPr>
                  <w:tcW w:w="653" w:type="pct"/>
                  <w:tcBorders>
                    <w:tl2br w:val="nil"/>
                    <w:tr2bl w:val="nil"/>
                  </w:tcBorders>
                  <w:vAlign w:val="center"/>
                </w:tcPr>
                <w:p w14:paraId="4088735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54.7</w:t>
                  </w:r>
                </w:p>
              </w:tc>
              <w:tc>
                <w:tcPr>
                  <w:tcW w:w="629" w:type="pct"/>
                  <w:tcBorders>
                    <w:tl2br w:val="nil"/>
                    <w:tr2bl w:val="nil"/>
                  </w:tcBorders>
                  <w:vAlign w:val="center"/>
                </w:tcPr>
                <w:p w14:paraId="059FA63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21368</w:t>
                  </w:r>
                </w:p>
              </w:tc>
              <w:tc>
                <w:tcPr>
                  <w:tcW w:w="625" w:type="pct"/>
                  <w:tcBorders>
                    <w:tl2br w:val="nil"/>
                    <w:tr2bl w:val="nil"/>
                  </w:tcBorders>
                  <w:vAlign w:val="center"/>
                </w:tcPr>
                <w:p w14:paraId="6EA1F7F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1.17</w:t>
                  </w:r>
                </w:p>
              </w:tc>
              <w:tc>
                <w:tcPr>
                  <w:tcW w:w="659" w:type="pct"/>
                  <w:vMerge w:val="continue"/>
                  <w:tcBorders>
                    <w:tl2br w:val="nil"/>
                    <w:tr2bl w:val="nil"/>
                  </w:tcBorders>
                  <w:vAlign w:val="center"/>
                </w:tcPr>
                <w:p w14:paraId="0D4A478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shd w:val="clear" w:color="auto" w:fill="auto"/>
                  <w:vAlign w:val="center"/>
                </w:tcPr>
                <w:p w14:paraId="254C72C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r w14:paraId="4C9D5B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448802F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21AB97E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shd w:val="clear" w:color="auto" w:fill="auto"/>
                  <w:vAlign w:val="center"/>
                </w:tcPr>
                <w:p w14:paraId="09A25C4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第三次</w:t>
                  </w:r>
                </w:p>
              </w:tc>
              <w:tc>
                <w:tcPr>
                  <w:tcW w:w="653" w:type="pct"/>
                  <w:tcBorders>
                    <w:tl2br w:val="nil"/>
                    <w:tr2bl w:val="nil"/>
                  </w:tcBorders>
                  <w:vAlign w:val="center"/>
                </w:tcPr>
                <w:p w14:paraId="57BAAFB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52.4</w:t>
                  </w:r>
                </w:p>
              </w:tc>
              <w:tc>
                <w:tcPr>
                  <w:tcW w:w="629" w:type="pct"/>
                  <w:tcBorders>
                    <w:tl2br w:val="nil"/>
                    <w:tr2bl w:val="nil"/>
                  </w:tcBorders>
                  <w:vAlign w:val="center"/>
                </w:tcPr>
                <w:p w14:paraId="1C6907E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18614</w:t>
                  </w:r>
                </w:p>
              </w:tc>
              <w:tc>
                <w:tcPr>
                  <w:tcW w:w="625" w:type="pct"/>
                  <w:tcBorders>
                    <w:tl2br w:val="nil"/>
                    <w:tr2bl w:val="nil"/>
                  </w:tcBorders>
                  <w:vAlign w:val="center"/>
                </w:tcPr>
                <w:p w14:paraId="2077231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0.975</w:t>
                  </w:r>
                </w:p>
              </w:tc>
              <w:tc>
                <w:tcPr>
                  <w:tcW w:w="659" w:type="pct"/>
                  <w:vMerge w:val="continue"/>
                  <w:tcBorders>
                    <w:tl2br w:val="nil"/>
                    <w:tr2bl w:val="nil"/>
                  </w:tcBorders>
                  <w:vAlign w:val="center"/>
                </w:tcPr>
                <w:p w14:paraId="3F963A1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shd w:val="clear" w:color="auto" w:fill="auto"/>
                  <w:vAlign w:val="center"/>
                </w:tcPr>
                <w:p w14:paraId="24AE727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r w14:paraId="152B52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6BA9773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29077A2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shd w:val="clear" w:color="auto" w:fill="auto"/>
                  <w:vAlign w:val="center"/>
                </w:tcPr>
                <w:p w14:paraId="427F2C3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均值</w:t>
                  </w:r>
                </w:p>
              </w:tc>
              <w:tc>
                <w:tcPr>
                  <w:tcW w:w="653" w:type="pct"/>
                  <w:tcBorders>
                    <w:tl2br w:val="nil"/>
                    <w:tr2bl w:val="nil"/>
                  </w:tcBorders>
                  <w:vAlign w:val="center"/>
                </w:tcPr>
                <w:p w14:paraId="1F26FF0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54.2</w:t>
                  </w:r>
                </w:p>
              </w:tc>
              <w:tc>
                <w:tcPr>
                  <w:tcW w:w="629" w:type="pct"/>
                  <w:tcBorders>
                    <w:tl2br w:val="nil"/>
                    <w:tr2bl w:val="nil"/>
                  </w:tcBorders>
                  <w:vAlign w:val="center"/>
                </w:tcPr>
                <w:p w14:paraId="4D459FB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21190</w:t>
                  </w:r>
                </w:p>
              </w:tc>
              <w:tc>
                <w:tcPr>
                  <w:tcW w:w="625" w:type="pct"/>
                  <w:tcBorders>
                    <w:tl2br w:val="nil"/>
                    <w:tr2bl w:val="nil"/>
                  </w:tcBorders>
                  <w:vAlign w:val="center"/>
                </w:tcPr>
                <w:p w14:paraId="02C5AD4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1.095</w:t>
                  </w:r>
                </w:p>
              </w:tc>
              <w:tc>
                <w:tcPr>
                  <w:tcW w:w="659" w:type="pct"/>
                  <w:vMerge w:val="continue"/>
                  <w:tcBorders>
                    <w:tl2br w:val="nil"/>
                    <w:tr2bl w:val="nil"/>
                  </w:tcBorders>
                  <w:vAlign w:val="center"/>
                </w:tcPr>
                <w:p w14:paraId="04C99F3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shd w:val="clear" w:color="auto" w:fill="auto"/>
                  <w:vAlign w:val="center"/>
                </w:tcPr>
                <w:p w14:paraId="079914E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r w14:paraId="633DEA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77B0FD8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restart"/>
                  <w:tcBorders>
                    <w:tl2br w:val="nil"/>
                    <w:tr2bl w:val="nil"/>
                  </w:tcBorders>
                  <w:shd w:val="clear" w:color="auto" w:fill="auto"/>
                  <w:vAlign w:val="center"/>
                </w:tcPr>
                <w:p w14:paraId="258EB00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甲醇</w:t>
                  </w:r>
                </w:p>
                <w:p w14:paraId="6B1CFA9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shd w:val="clear" w:color="auto" w:fill="auto"/>
                  <w:vAlign w:val="center"/>
                </w:tcPr>
                <w:p w14:paraId="679E995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第一次</w:t>
                  </w:r>
                </w:p>
              </w:tc>
              <w:tc>
                <w:tcPr>
                  <w:tcW w:w="653" w:type="pct"/>
                  <w:tcBorders>
                    <w:tl2br w:val="nil"/>
                    <w:tr2bl w:val="nil"/>
                  </w:tcBorders>
                  <w:vAlign w:val="center"/>
                </w:tcPr>
                <w:p w14:paraId="1D6A0B2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31.8</w:t>
                  </w:r>
                </w:p>
              </w:tc>
              <w:tc>
                <w:tcPr>
                  <w:tcW w:w="629" w:type="pct"/>
                  <w:tcBorders>
                    <w:tl2br w:val="nil"/>
                    <w:tr2bl w:val="nil"/>
                  </w:tcBorders>
                  <w:shd w:val="clear" w:color="auto" w:fill="auto"/>
                  <w:vAlign w:val="center"/>
                </w:tcPr>
                <w:p w14:paraId="5321401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bidi="ar-SA"/>
                    </w:rPr>
                  </w:pPr>
                  <w:r>
                    <w:rPr>
                      <w:rFonts w:hint="default" w:ascii="Times New Roman" w:hAnsi="Times New Roman" w:eastAsia="宋体" w:cs="Times New Roman"/>
                      <w:b w:val="0"/>
                      <w:bCs w:val="0"/>
                      <w:color w:val="auto"/>
                      <w:spacing w:val="0"/>
                      <w:position w:val="0"/>
                      <w:sz w:val="21"/>
                      <w:szCs w:val="21"/>
                      <w:lang w:val="en-US" w:eastAsia="zh-CN"/>
                    </w:rPr>
                    <w:t>20587</w:t>
                  </w:r>
                </w:p>
              </w:tc>
              <w:tc>
                <w:tcPr>
                  <w:tcW w:w="625" w:type="pct"/>
                  <w:tcBorders>
                    <w:tl2br w:val="nil"/>
                    <w:tr2bl w:val="nil"/>
                  </w:tcBorders>
                  <w:vAlign w:val="center"/>
                </w:tcPr>
                <w:p w14:paraId="2B9EC5C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0.655</w:t>
                  </w:r>
                </w:p>
              </w:tc>
              <w:tc>
                <w:tcPr>
                  <w:tcW w:w="659" w:type="pct"/>
                  <w:vMerge w:val="restart"/>
                  <w:tcBorders>
                    <w:tl2br w:val="nil"/>
                    <w:tr2bl w:val="nil"/>
                  </w:tcBorders>
                  <w:vAlign w:val="center"/>
                </w:tcPr>
                <w:p w14:paraId="41FE140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1</w:t>
                  </w:r>
                  <w:r>
                    <w:rPr>
                      <w:rFonts w:hint="eastAsia" w:ascii="Times New Roman" w:hAnsi="Times New Roman" w:eastAsia="宋体" w:cs="Times New Roman"/>
                      <w:b w:val="0"/>
                      <w:bCs w:val="0"/>
                      <w:color w:val="auto"/>
                      <w:spacing w:val="0"/>
                      <w:position w:val="0"/>
                      <w:sz w:val="21"/>
                      <w:szCs w:val="21"/>
                      <w:lang w:val="en-US" w:eastAsia="zh-CN"/>
                    </w:rPr>
                    <w:t>9</w:t>
                  </w:r>
                  <w:r>
                    <w:rPr>
                      <w:rFonts w:hint="default" w:ascii="Times New Roman" w:hAnsi="Times New Roman" w:eastAsia="宋体" w:cs="Times New Roman"/>
                      <w:b w:val="0"/>
                      <w:bCs w:val="0"/>
                      <w:color w:val="auto"/>
                      <w:spacing w:val="0"/>
                      <w:position w:val="0"/>
                      <w:sz w:val="21"/>
                      <w:szCs w:val="21"/>
                      <w:lang w:val="en-US" w:eastAsia="zh-CN"/>
                    </w:rPr>
                    <w:t>0mg/m</w:t>
                  </w:r>
                  <w:r>
                    <w:rPr>
                      <w:rFonts w:hint="default" w:ascii="Times New Roman" w:hAnsi="Times New Roman" w:eastAsia="宋体" w:cs="Times New Roman"/>
                      <w:b w:val="0"/>
                      <w:bCs w:val="0"/>
                      <w:color w:val="auto"/>
                      <w:spacing w:val="0"/>
                      <w:position w:val="0"/>
                      <w:sz w:val="21"/>
                      <w:szCs w:val="21"/>
                      <w:vertAlign w:val="superscript"/>
                      <w:lang w:val="en-US" w:eastAsia="zh-CN"/>
                    </w:rPr>
                    <w:t>3</w:t>
                  </w:r>
                  <w:r>
                    <w:rPr>
                      <w:rFonts w:hint="eastAsia" w:ascii="Times New Roman" w:hAnsi="Times New Roman" w:eastAsia="宋体" w:cs="Times New Roman"/>
                      <w:b w:val="0"/>
                      <w:bCs w:val="0"/>
                      <w:color w:val="auto"/>
                      <w:spacing w:val="0"/>
                      <w:position w:val="0"/>
                      <w:sz w:val="21"/>
                      <w:szCs w:val="21"/>
                      <w:lang w:val="en-US" w:eastAsia="zh-CN"/>
                    </w:rPr>
                    <w:t>；5.1kg/h</w:t>
                  </w:r>
                </w:p>
              </w:tc>
              <w:tc>
                <w:tcPr>
                  <w:tcW w:w="475" w:type="pct"/>
                  <w:tcBorders>
                    <w:tl2br w:val="nil"/>
                    <w:tr2bl w:val="nil"/>
                  </w:tcBorders>
                  <w:shd w:val="clear" w:color="auto" w:fill="auto"/>
                  <w:vAlign w:val="center"/>
                </w:tcPr>
                <w:p w14:paraId="59CC260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r w14:paraId="4E26A9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20951A1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5F440DA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shd w:val="clear" w:color="auto" w:fill="auto"/>
                  <w:vAlign w:val="center"/>
                </w:tcPr>
                <w:p w14:paraId="395CD32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第二次</w:t>
                  </w:r>
                </w:p>
              </w:tc>
              <w:tc>
                <w:tcPr>
                  <w:tcW w:w="653" w:type="pct"/>
                  <w:tcBorders>
                    <w:tl2br w:val="nil"/>
                    <w:tr2bl w:val="nil"/>
                  </w:tcBorders>
                  <w:vAlign w:val="center"/>
                </w:tcPr>
                <w:p w14:paraId="453ED40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24.2</w:t>
                  </w:r>
                </w:p>
              </w:tc>
              <w:tc>
                <w:tcPr>
                  <w:tcW w:w="629" w:type="pct"/>
                  <w:tcBorders>
                    <w:tl2br w:val="nil"/>
                    <w:tr2bl w:val="nil"/>
                  </w:tcBorders>
                  <w:shd w:val="clear" w:color="auto" w:fill="auto"/>
                  <w:vAlign w:val="center"/>
                </w:tcPr>
                <w:p w14:paraId="2ED7AEF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bidi="ar-SA"/>
                    </w:rPr>
                  </w:pPr>
                  <w:r>
                    <w:rPr>
                      <w:rFonts w:hint="default" w:ascii="Times New Roman" w:hAnsi="Times New Roman" w:eastAsia="宋体" w:cs="Times New Roman"/>
                      <w:b w:val="0"/>
                      <w:bCs w:val="0"/>
                      <w:color w:val="auto"/>
                      <w:spacing w:val="0"/>
                      <w:position w:val="0"/>
                      <w:sz w:val="21"/>
                      <w:szCs w:val="21"/>
                      <w:lang w:val="en-US" w:eastAsia="zh-CN"/>
                    </w:rPr>
                    <w:t>21368</w:t>
                  </w:r>
                </w:p>
              </w:tc>
              <w:tc>
                <w:tcPr>
                  <w:tcW w:w="625" w:type="pct"/>
                  <w:tcBorders>
                    <w:tl2br w:val="nil"/>
                    <w:tr2bl w:val="nil"/>
                  </w:tcBorders>
                  <w:vAlign w:val="center"/>
                </w:tcPr>
                <w:p w14:paraId="02A0194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0.517</w:t>
                  </w:r>
                </w:p>
              </w:tc>
              <w:tc>
                <w:tcPr>
                  <w:tcW w:w="659" w:type="pct"/>
                  <w:vMerge w:val="continue"/>
                  <w:tcBorders>
                    <w:tl2br w:val="nil"/>
                    <w:tr2bl w:val="nil"/>
                  </w:tcBorders>
                  <w:vAlign w:val="center"/>
                </w:tcPr>
                <w:p w14:paraId="5D04FF5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shd w:val="clear" w:color="auto" w:fill="auto"/>
                  <w:vAlign w:val="center"/>
                </w:tcPr>
                <w:p w14:paraId="17B0CB0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r w14:paraId="28F808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1F35560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1BF7465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shd w:val="clear" w:color="auto" w:fill="auto"/>
                  <w:vAlign w:val="center"/>
                </w:tcPr>
                <w:p w14:paraId="18BB48C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第三次</w:t>
                  </w:r>
                </w:p>
              </w:tc>
              <w:tc>
                <w:tcPr>
                  <w:tcW w:w="653" w:type="pct"/>
                  <w:tcBorders>
                    <w:tl2br w:val="nil"/>
                    <w:tr2bl w:val="nil"/>
                  </w:tcBorders>
                  <w:vAlign w:val="center"/>
                </w:tcPr>
                <w:p w14:paraId="762F6EB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22.6</w:t>
                  </w:r>
                </w:p>
              </w:tc>
              <w:tc>
                <w:tcPr>
                  <w:tcW w:w="629" w:type="pct"/>
                  <w:tcBorders>
                    <w:tl2br w:val="nil"/>
                    <w:tr2bl w:val="nil"/>
                  </w:tcBorders>
                  <w:shd w:val="clear" w:color="auto" w:fill="auto"/>
                  <w:vAlign w:val="center"/>
                </w:tcPr>
                <w:p w14:paraId="1A02CFB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bidi="ar-SA"/>
                    </w:rPr>
                  </w:pPr>
                  <w:r>
                    <w:rPr>
                      <w:rFonts w:hint="default" w:ascii="Times New Roman" w:hAnsi="Times New Roman" w:eastAsia="宋体" w:cs="Times New Roman"/>
                      <w:b w:val="0"/>
                      <w:bCs w:val="0"/>
                      <w:color w:val="auto"/>
                      <w:spacing w:val="0"/>
                      <w:position w:val="0"/>
                      <w:sz w:val="21"/>
                      <w:szCs w:val="21"/>
                      <w:lang w:val="en-US" w:eastAsia="zh-CN"/>
                    </w:rPr>
                    <w:t>18614</w:t>
                  </w:r>
                </w:p>
              </w:tc>
              <w:tc>
                <w:tcPr>
                  <w:tcW w:w="625" w:type="pct"/>
                  <w:tcBorders>
                    <w:tl2br w:val="nil"/>
                    <w:tr2bl w:val="nil"/>
                  </w:tcBorders>
                  <w:vAlign w:val="center"/>
                </w:tcPr>
                <w:p w14:paraId="29427F0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0.421</w:t>
                  </w:r>
                </w:p>
              </w:tc>
              <w:tc>
                <w:tcPr>
                  <w:tcW w:w="659" w:type="pct"/>
                  <w:vMerge w:val="continue"/>
                  <w:tcBorders>
                    <w:tl2br w:val="nil"/>
                    <w:tr2bl w:val="nil"/>
                  </w:tcBorders>
                  <w:vAlign w:val="center"/>
                </w:tcPr>
                <w:p w14:paraId="7DDA3AD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shd w:val="clear" w:color="auto" w:fill="auto"/>
                  <w:vAlign w:val="center"/>
                </w:tcPr>
                <w:p w14:paraId="4727F41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r w14:paraId="1795ED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26" w:type="pct"/>
                  <w:vMerge w:val="continue"/>
                  <w:tcBorders>
                    <w:tl2br w:val="nil"/>
                    <w:tr2bl w:val="nil"/>
                  </w:tcBorders>
                  <w:vAlign w:val="center"/>
                </w:tcPr>
                <w:p w14:paraId="5F2E7ED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523" w:type="pct"/>
                  <w:vMerge w:val="continue"/>
                  <w:tcBorders>
                    <w:tl2br w:val="nil"/>
                    <w:tr2bl w:val="nil"/>
                  </w:tcBorders>
                  <w:vAlign w:val="center"/>
                </w:tcPr>
                <w:p w14:paraId="60D7207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607" w:type="pct"/>
                  <w:tcBorders>
                    <w:tl2br w:val="nil"/>
                    <w:tr2bl w:val="nil"/>
                  </w:tcBorders>
                  <w:shd w:val="clear" w:color="auto" w:fill="auto"/>
                  <w:vAlign w:val="center"/>
                </w:tcPr>
                <w:p w14:paraId="5EAC49F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均值</w:t>
                  </w:r>
                </w:p>
              </w:tc>
              <w:tc>
                <w:tcPr>
                  <w:tcW w:w="653" w:type="pct"/>
                  <w:tcBorders>
                    <w:tl2br w:val="nil"/>
                    <w:tr2bl w:val="nil"/>
                  </w:tcBorders>
                  <w:vAlign w:val="center"/>
                </w:tcPr>
                <w:p w14:paraId="16E484B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26.2</w:t>
                  </w:r>
                </w:p>
              </w:tc>
              <w:tc>
                <w:tcPr>
                  <w:tcW w:w="629" w:type="pct"/>
                  <w:tcBorders>
                    <w:tl2br w:val="nil"/>
                    <w:tr2bl w:val="nil"/>
                  </w:tcBorders>
                  <w:shd w:val="clear" w:color="auto" w:fill="auto"/>
                  <w:vAlign w:val="center"/>
                </w:tcPr>
                <w:p w14:paraId="1C3FDC0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bidi="ar-SA"/>
                    </w:rPr>
                  </w:pPr>
                  <w:r>
                    <w:rPr>
                      <w:rFonts w:hint="default" w:ascii="Times New Roman" w:hAnsi="Times New Roman" w:eastAsia="宋体" w:cs="Times New Roman"/>
                      <w:b w:val="0"/>
                      <w:bCs w:val="0"/>
                      <w:color w:val="auto"/>
                      <w:spacing w:val="0"/>
                      <w:position w:val="0"/>
                      <w:sz w:val="21"/>
                      <w:szCs w:val="21"/>
                      <w:lang w:val="en-US" w:eastAsia="zh-CN"/>
                    </w:rPr>
                    <w:t>21190</w:t>
                  </w:r>
                </w:p>
              </w:tc>
              <w:tc>
                <w:tcPr>
                  <w:tcW w:w="625" w:type="pct"/>
                  <w:tcBorders>
                    <w:tl2br w:val="nil"/>
                    <w:tr2bl w:val="nil"/>
                  </w:tcBorders>
                  <w:vAlign w:val="center"/>
                </w:tcPr>
                <w:p w14:paraId="02170DC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val="0"/>
                      <w:bCs w:val="0"/>
                      <w:color w:val="auto"/>
                      <w:spacing w:val="0"/>
                      <w:position w:val="0"/>
                      <w:sz w:val="21"/>
                      <w:szCs w:val="21"/>
                      <w:lang w:val="en-US" w:eastAsia="zh-CN"/>
                    </w:rPr>
                  </w:pPr>
                  <w:r>
                    <w:rPr>
                      <w:rFonts w:hint="default" w:ascii="Times New Roman" w:hAnsi="Times New Roman" w:eastAsia="宋体" w:cs="Times New Roman"/>
                      <w:b w:val="0"/>
                      <w:bCs w:val="0"/>
                      <w:color w:val="auto"/>
                      <w:spacing w:val="0"/>
                      <w:position w:val="0"/>
                      <w:sz w:val="21"/>
                      <w:szCs w:val="21"/>
                      <w:lang w:val="en-US" w:eastAsia="zh-CN"/>
                    </w:rPr>
                    <w:t>0.531</w:t>
                  </w:r>
                </w:p>
              </w:tc>
              <w:tc>
                <w:tcPr>
                  <w:tcW w:w="659" w:type="pct"/>
                  <w:vMerge w:val="continue"/>
                  <w:tcBorders>
                    <w:tl2br w:val="nil"/>
                    <w:tr2bl w:val="nil"/>
                  </w:tcBorders>
                  <w:vAlign w:val="center"/>
                </w:tcPr>
                <w:p w14:paraId="0AF2E34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475" w:type="pct"/>
                  <w:tcBorders>
                    <w:tl2br w:val="nil"/>
                    <w:tr2bl w:val="nil"/>
                  </w:tcBorders>
                  <w:shd w:val="clear" w:color="auto" w:fill="auto"/>
                  <w:vAlign w:val="center"/>
                </w:tcPr>
                <w:p w14:paraId="451A8E7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达标</w:t>
                  </w:r>
                </w:p>
              </w:tc>
            </w:tr>
          </w:tbl>
          <w:p w14:paraId="45F9B78F">
            <w:pPr>
              <w:keepNext w:val="0"/>
              <w:keepLines w:val="0"/>
              <w:pageBreakBefore w:val="0"/>
              <w:widowControl/>
              <w:kinsoku/>
              <w:wordWrap/>
              <w:overflowPunct/>
              <w:topLinePunct w:val="0"/>
              <w:autoSpaceDE/>
              <w:autoSpaceDN/>
              <w:bidi w:val="0"/>
              <w:adjustRightInd w:val="0"/>
              <w:snapToGrid w:val="0"/>
              <w:spacing w:before="181" w:beforeLines="50"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表7-</w:t>
            </w:r>
            <w:r>
              <w:rPr>
                <w:rFonts w:hint="eastAsia" w:ascii="Times New Roman" w:hAnsi="Times New Roman" w:eastAsia="宋体" w:cs="Times New Roman"/>
                <w:b/>
                <w:bCs/>
                <w:color w:val="auto"/>
                <w:sz w:val="21"/>
                <w:szCs w:val="21"/>
                <w:lang w:val="en-US" w:eastAsia="zh-CN"/>
              </w:rPr>
              <w:t>2</w:t>
            </w:r>
            <w:r>
              <w:rPr>
                <w:rFonts w:hint="default" w:ascii="Times New Roman" w:hAnsi="Times New Roman" w:eastAsia="宋体" w:cs="Times New Roman"/>
                <w:b/>
                <w:bCs/>
                <w:color w:val="auto"/>
                <w:sz w:val="21"/>
                <w:szCs w:val="21"/>
                <w:lang w:val="en-US" w:eastAsia="zh-CN"/>
              </w:rPr>
              <w:t xml:space="preserve"> 无组织废气检测一览表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88"/>
              <w:gridCol w:w="1154"/>
              <w:gridCol w:w="857"/>
              <w:gridCol w:w="1400"/>
              <w:gridCol w:w="1400"/>
              <w:gridCol w:w="1404"/>
            </w:tblGrid>
            <w:tr w14:paraId="07E83D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57" w:type="pct"/>
                  <w:vMerge w:val="restart"/>
                  <w:tcBorders>
                    <w:tl2br w:val="nil"/>
                    <w:tr2bl w:val="nil"/>
                  </w:tcBorders>
                  <w:vAlign w:val="center"/>
                </w:tcPr>
                <w:p w14:paraId="67C97C5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检测位置</w:t>
                  </w:r>
                </w:p>
              </w:tc>
              <w:tc>
                <w:tcPr>
                  <w:tcW w:w="694" w:type="pct"/>
                  <w:vMerge w:val="restart"/>
                  <w:tcBorders>
                    <w:tl2br w:val="nil"/>
                    <w:tr2bl w:val="nil"/>
                  </w:tcBorders>
                  <w:vAlign w:val="center"/>
                </w:tcPr>
                <w:p w14:paraId="54A532D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检测项目</w:t>
                  </w:r>
                </w:p>
              </w:tc>
              <w:tc>
                <w:tcPr>
                  <w:tcW w:w="3047" w:type="pct"/>
                  <w:gridSpan w:val="4"/>
                  <w:tcBorders>
                    <w:tl2br w:val="nil"/>
                    <w:tr2bl w:val="nil"/>
                  </w:tcBorders>
                  <w:vAlign w:val="center"/>
                </w:tcPr>
                <w:p w14:paraId="7ECB5A5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检测结果（</w:t>
                  </w:r>
                  <w:r>
                    <w:rPr>
                      <w:rFonts w:hint="default" w:ascii="Times New Roman" w:hAnsi="Times New Roman" w:eastAsia="宋体" w:cs="Times New Roman"/>
                      <w:b/>
                      <w:bCs/>
                      <w:color w:val="auto"/>
                      <w:spacing w:val="0"/>
                      <w:position w:val="0"/>
                      <w:sz w:val="21"/>
                      <w:szCs w:val="21"/>
                      <w:lang w:val="en-US" w:eastAsia="zh-CN"/>
                    </w:rPr>
                    <w:t>mg/m</w:t>
                  </w:r>
                  <w:r>
                    <w:rPr>
                      <w:rFonts w:hint="default" w:ascii="Times New Roman" w:hAnsi="Times New Roman" w:eastAsia="宋体" w:cs="Times New Roman"/>
                      <w:b/>
                      <w:bCs/>
                      <w:color w:val="auto"/>
                      <w:spacing w:val="0"/>
                      <w:position w:val="0"/>
                      <w:sz w:val="21"/>
                      <w:szCs w:val="21"/>
                      <w:vertAlign w:val="superscript"/>
                      <w:lang w:val="en-US" w:eastAsia="zh-CN"/>
                    </w:rPr>
                    <w:t>3</w:t>
                  </w:r>
                  <w:r>
                    <w:rPr>
                      <w:rFonts w:hint="default" w:ascii="Times New Roman" w:hAnsi="Times New Roman" w:eastAsia="宋体" w:cs="Times New Roman"/>
                      <w:b/>
                      <w:bCs/>
                      <w:color w:val="auto"/>
                      <w:sz w:val="21"/>
                      <w:szCs w:val="21"/>
                      <w:lang w:val="en-US" w:eastAsia="zh-CN"/>
                    </w:rPr>
                    <w:t>）</w:t>
                  </w:r>
                </w:p>
              </w:tc>
            </w:tr>
            <w:tr w14:paraId="117172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57" w:type="pct"/>
                  <w:vMerge w:val="continue"/>
                  <w:tcBorders>
                    <w:tl2br w:val="nil"/>
                    <w:tr2bl w:val="nil"/>
                  </w:tcBorders>
                  <w:vAlign w:val="center"/>
                </w:tcPr>
                <w:p w14:paraId="0871386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p>
              </w:tc>
              <w:tc>
                <w:tcPr>
                  <w:tcW w:w="694" w:type="pct"/>
                  <w:vMerge w:val="continue"/>
                  <w:tcBorders>
                    <w:tl2br w:val="nil"/>
                    <w:tr2bl w:val="nil"/>
                  </w:tcBorders>
                  <w:vAlign w:val="center"/>
                </w:tcPr>
                <w:p w14:paraId="609BD0E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p>
              </w:tc>
              <w:tc>
                <w:tcPr>
                  <w:tcW w:w="516" w:type="pct"/>
                  <w:tcBorders>
                    <w:tl2br w:val="nil"/>
                    <w:tr2bl w:val="nil"/>
                  </w:tcBorders>
                  <w:vAlign w:val="center"/>
                </w:tcPr>
                <w:p w14:paraId="0BC09F1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第一次</w:t>
                  </w:r>
                </w:p>
              </w:tc>
              <w:tc>
                <w:tcPr>
                  <w:tcW w:w="843" w:type="pct"/>
                  <w:tcBorders>
                    <w:tl2br w:val="nil"/>
                    <w:tr2bl w:val="nil"/>
                  </w:tcBorders>
                  <w:vAlign w:val="center"/>
                </w:tcPr>
                <w:p w14:paraId="2E13316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第二次</w:t>
                  </w:r>
                </w:p>
              </w:tc>
              <w:tc>
                <w:tcPr>
                  <w:tcW w:w="843" w:type="pct"/>
                  <w:tcBorders>
                    <w:tl2br w:val="nil"/>
                    <w:tr2bl w:val="nil"/>
                  </w:tcBorders>
                  <w:vAlign w:val="center"/>
                </w:tcPr>
                <w:p w14:paraId="19E7E53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第三次</w:t>
                  </w:r>
                </w:p>
              </w:tc>
              <w:tc>
                <w:tcPr>
                  <w:tcW w:w="845" w:type="pct"/>
                  <w:tcBorders>
                    <w:tl2br w:val="nil"/>
                    <w:tr2bl w:val="nil"/>
                  </w:tcBorders>
                  <w:vAlign w:val="center"/>
                </w:tcPr>
                <w:p w14:paraId="7DE2478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第四次</w:t>
                  </w:r>
                </w:p>
              </w:tc>
            </w:tr>
            <w:tr w14:paraId="1471C1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0987883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厂界上风向G3</w:t>
                  </w:r>
                </w:p>
              </w:tc>
              <w:tc>
                <w:tcPr>
                  <w:tcW w:w="694" w:type="pct"/>
                  <w:vMerge w:val="restart"/>
                  <w:tcBorders>
                    <w:tl2br w:val="nil"/>
                    <w:tr2bl w:val="nil"/>
                  </w:tcBorders>
                  <w:vAlign w:val="center"/>
                </w:tcPr>
                <w:p w14:paraId="025D3BD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甲醇（1.10）</w:t>
                  </w:r>
                </w:p>
              </w:tc>
              <w:tc>
                <w:tcPr>
                  <w:tcW w:w="857" w:type="dxa"/>
                  <w:tcBorders>
                    <w:tl2br w:val="nil"/>
                    <w:tr2bl w:val="nil"/>
                  </w:tcBorders>
                  <w:vAlign w:val="center"/>
                </w:tcPr>
                <w:p w14:paraId="0D78024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3C579C4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32BCCFE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4" w:type="dxa"/>
                  <w:tcBorders>
                    <w:tl2br w:val="nil"/>
                    <w:tr2bl w:val="nil"/>
                  </w:tcBorders>
                  <w:vAlign w:val="center"/>
                </w:tcPr>
                <w:p w14:paraId="69AA5D3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r>
            <w:tr w14:paraId="6A7329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7CF3228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厂界下风向G4</w:t>
                  </w:r>
                </w:p>
              </w:tc>
              <w:tc>
                <w:tcPr>
                  <w:tcW w:w="694" w:type="pct"/>
                  <w:vMerge w:val="continue"/>
                  <w:tcBorders>
                    <w:tl2br w:val="nil"/>
                    <w:tr2bl w:val="nil"/>
                  </w:tcBorders>
                  <w:vAlign w:val="center"/>
                </w:tcPr>
                <w:p w14:paraId="533C88B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57" w:type="dxa"/>
                  <w:tcBorders>
                    <w:tl2br w:val="nil"/>
                    <w:tr2bl w:val="nil"/>
                  </w:tcBorders>
                  <w:vAlign w:val="center"/>
                </w:tcPr>
                <w:p w14:paraId="038BA94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33D5095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5A01D97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4" w:type="dxa"/>
                  <w:tcBorders>
                    <w:tl2br w:val="nil"/>
                    <w:tr2bl w:val="nil"/>
                  </w:tcBorders>
                  <w:vAlign w:val="center"/>
                </w:tcPr>
                <w:p w14:paraId="2DC8EC5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r>
            <w:tr w14:paraId="0C08B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1AF92FC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厂界下风向G5</w:t>
                  </w:r>
                </w:p>
              </w:tc>
              <w:tc>
                <w:tcPr>
                  <w:tcW w:w="694" w:type="pct"/>
                  <w:vMerge w:val="continue"/>
                  <w:tcBorders>
                    <w:tl2br w:val="nil"/>
                    <w:tr2bl w:val="nil"/>
                  </w:tcBorders>
                  <w:vAlign w:val="center"/>
                </w:tcPr>
                <w:p w14:paraId="23B6C6D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57" w:type="dxa"/>
                  <w:tcBorders>
                    <w:tl2br w:val="nil"/>
                    <w:tr2bl w:val="nil"/>
                  </w:tcBorders>
                  <w:vAlign w:val="center"/>
                </w:tcPr>
                <w:p w14:paraId="01B04CF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69175F4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53327F0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4" w:type="dxa"/>
                  <w:tcBorders>
                    <w:tl2br w:val="nil"/>
                    <w:tr2bl w:val="nil"/>
                  </w:tcBorders>
                  <w:vAlign w:val="center"/>
                </w:tcPr>
                <w:p w14:paraId="18FBDB7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r>
            <w:tr w14:paraId="2B3967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2499B47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厂界下风向G6</w:t>
                  </w:r>
                </w:p>
              </w:tc>
              <w:tc>
                <w:tcPr>
                  <w:tcW w:w="694" w:type="pct"/>
                  <w:vMerge w:val="continue"/>
                  <w:tcBorders>
                    <w:tl2br w:val="nil"/>
                    <w:tr2bl w:val="nil"/>
                  </w:tcBorders>
                  <w:vAlign w:val="center"/>
                </w:tcPr>
                <w:p w14:paraId="0BCE060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57" w:type="dxa"/>
                  <w:tcBorders>
                    <w:tl2br w:val="nil"/>
                    <w:tr2bl w:val="nil"/>
                  </w:tcBorders>
                  <w:vAlign w:val="center"/>
                </w:tcPr>
                <w:p w14:paraId="43C8B17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54BBDE5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6B8D385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4" w:type="dxa"/>
                  <w:tcBorders>
                    <w:tl2br w:val="nil"/>
                    <w:tr2bl w:val="nil"/>
                  </w:tcBorders>
                  <w:vAlign w:val="center"/>
                </w:tcPr>
                <w:p w14:paraId="56FF221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ND</w:t>
                  </w:r>
                </w:p>
              </w:tc>
            </w:tr>
            <w:tr w14:paraId="0267BC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88" w:type="dxa"/>
                  <w:tcBorders>
                    <w:tl2br w:val="nil"/>
                    <w:tr2bl w:val="nil"/>
                  </w:tcBorders>
                  <w:shd w:val="clear" w:color="auto" w:fill="auto"/>
                  <w:vAlign w:val="center"/>
                </w:tcPr>
                <w:p w14:paraId="3253F08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厂界上风向G3</w:t>
                  </w:r>
                </w:p>
              </w:tc>
              <w:tc>
                <w:tcPr>
                  <w:tcW w:w="694" w:type="pct"/>
                  <w:vMerge w:val="restart"/>
                  <w:tcBorders>
                    <w:tl2br w:val="nil"/>
                    <w:tr2bl w:val="nil"/>
                  </w:tcBorders>
                  <w:vAlign w:val="center"/>
                </w:tcPr>
                <w:p w14:paraId="00F5A00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甲醇（1.11）</w:t>
                  </w:r>
                </w:p>
              </w:tc>
              <w:tc>
                <w:tcPr>
                  <w:tcW w:w="857" w:type="dxa"/>
                  <w:tcBorders>
                    <w:tl2br w:val="nil"/>
                    <w:tr2bl w:val="nil"/>
                  </w:tcBorders>
                  <w:vAlign w:val="center"/>
                </w:tcPr>
                <w:p w14:paraId="478E242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64DDC08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367AB0C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4" w:type="dxa"/>
                  <w:tcBorders>
                    <w:tl2br w:val="nil"/>
                    <w:tr2bl w:val="nil"/>
                  </w:tcBorders>
                  <w:vAlign w:val="center"/>
                </w:tcPr>
                <w:p w14:paraId="2480E1F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r>
            <w:tr w14:paraId="52D791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322168E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厂界下风向G4</w:t>
                  </w:r>
                </w:p>
              </w:tc>
              <w:tc>
                <w:tcPr>
                  <w:tcW w:w="694" w:type="pct"/>
                  <w:vMerge w:val="continue"/>
                  <w:tcBorders>
                    <w:tl2br w:val="nil"/>
                    <w:tr2bl w:val="nil"/>
                  </w:tcBorders>
                  <w:vAlign w:val="center"/>
                </w:tcPr>
                <w:p w14:paraId="0B08A76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857" w:type="dxa"/>
                  <w:tcBorders>
                    <w:tl2br w:val="nil"/>
                    <w:tr2bl w:val="nil"/>
                  </w:tcBorders>
                  <w:vAlign w:val="center"/>
                </w:tcPr>
                <w:p w14:paraId="51EB91A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687F6F6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6B0F407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0.5</w:t>
                  </w:r>
                </w:p>
              </w:tc>
              <w:tc>
                <w:tcPr>
                  <w:tcW w:w="1404" w:type="dxa"/>
                  <w:tcBorders>
                    <w:tl2br w:val="nil"/>
                    <w:tr2bl w:val="nil"/>
                  </w:tcBorders>
                  <w:vAlign w:val="center"/>
                </w:tcPr>
                <w:p w14:paraId="2355824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r>
            <w:tr w14:paraId="41807B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482DA89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厂界下风向G5</w:t>
                  </w:r>
                </w:p>
              </w:tc>
              <w:tc>
                <w:tcPr>
                  <w:tcW w:w="694" w:type="pct"/>
                  <w:vMerge w:val="continue"/>
                  <w:tcBorders>
                    <w:tl2br w:val="nil"/>
                    <w:tr2bl w:val="nil"/>
                  </w:tcBorders>
                  <w:vAlign w:val="center"/>
                </w:tcPr>
                <w:p w14:paraId="188FFD2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857" w:type="dxa"/>
                  <w:tcBorders>
                    <w:tl2br w:val="nil"/>
                    <w:tr2bl w:val="nil"/>
                  </w:tcBorders>
                  <w:vAlign w:val="center"/>
                </w:tcPr>
                <w:p w14:paraId="2D989C0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4D724B2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6C6D396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4" w:type="dxa"/>
                  <w:tcBorders>
                    <w:tl2br w:val="nil"/>
                    <w:tr2bl w:val="nil"/>
                  </w:tcBorders>
                  <w:vAlign w:val="center"/>
                </w:tcPr>
                <w:p w14:paraId="7B7C62F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r>
            <w:tr w14:paraId="60A53B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29315C3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厂界下风向G6</w:t>
                  </w:r>
                </w:p>
              </w:tc>
              <w:tc>
                <w:tcPr>
                  <w:tcW w:w="694" w:type="pct"/>
                  <w:vMerge w:val="continue"/>
                  <w:tcBorders>
                    <w:tl2br w:val="nil"/>
                    <w:tr2bl w:val="nil"/>
                  </w:tcBorders>
                  <w:vAlign w:val="center"/>
                </w:tcPr>
                <w:p w14:paraId="7C1ABE6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857" w:type="dxa"/>
                  <w:tcBorders>
                    <w:tl2br w:val="nil"/>
                    <w:tr2bl w:val="nil"/>
                  </w:tcBorders>
                  <w:vAlign w:val="center"/>
                </w:tcPr>
                <w:p w14:paraId="5C6D1A1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0.6</w:t>
                  </w:r>
                </w:p>
              </w:tc>
              <w:tc>
                <w:tcPr>
                  <w:tcW w:w="1400" w:type="dxa"/>
                  <w:tcBorders>
                    <w:tl2br w:val="nil"/>
                    <w:tr2bl w:val="nil"/>
                  </w:tcBorders>
                  <w:vAlign w:val="center"/>
                </w:tcPr>
                <w:p w14:paraId="73EB006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0" w:type="dxa"/>
                  <w:tcBorders>
                    <w:tl2br w:val="nil"/>
                    <w:tr2bl w:val="nil"/>
                  </w:tcBorders>
                  <w:vAlign w:val="center"/>
                </w:tcPr>
                <w:p w14:paraId="2885660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ND</w:t>
                  </w:r>
                </w:p>
              </w:tc>
              <w:tc>
                <w:tcPr>
                  <w:tcW w:w="1404" w:type="dxa"/>
                  <w:tcBorders>
                    <w:tl2br w:val="nil"/>
                    <w:tr2bl w:val="nil"/>
                  </w:tcBorders>
                  <w:vAlign w:val="center"/>
                </w:tcPr>
                <w:p w14:paraId="3010B55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0.5</w:t>
                  </w:r>
                </w:p>
              </w:tc>
            </w:tr>
            <w:tr w14:paraId="3CB31C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2" w:type="pct"/>
                  <w:gridSpan w:val="2"/>
                  <w:tcBorders>
                    <w:tl2br w:val="nil"/>
                    <w:tr2bl w:val="nil"/>
                  </w:tcBorders>
                  <w:shd w:val="clear" w:color="auto" w:fill="auto"/>
                  <w:vAlign w:val="center"/>
                </w:tcPr>
                <w:p w14:paraId="298B538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排放标准</w:t>
                  </w:r>
                </w:p>
              </w:tc>
              <w:tc>
                <w:tcPr>
                  <w:tcW w:w="516" w:type="pct"/>
                  <w:tcBorders>
                    <w:tl2br w:val="nil"/>
                    <w:tr2bl w:val="nil"/>
                  </w:tcBorders>
                  <w:vAlign w:val="center"/>
                </w:tcPr>
                <w:p w14:paraId="2A9F5D3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w:t>
                  </w:r>
                </w:p>
              </w:tc>
              <w:tc>
                <w:tcPr>
                  <w:tcW w:w="843" w:type="pct"/>
                  <w:tcBorders>
                    <w:tl2br w:val="nil"/>
                    <w:tr2bl w:val="nil"/>
                  </w:tcBorders>
                  <w:vAlign w:val="center"/>
                </w:tcPr>
                <w:p w14:paraId="2E6CA95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w:t>
                  </w:r>
                </w:p>
              </w:tc>
              <w:tc>
                <w:tcPr>
                  <w:tcW w:w="843" w:type="pct"/>
                  <w:tcBorders>
                    <w:tl2br w:val="nil"/>
                    <w:tr2bl w:val="nil"/>
                  </w:tcBorders>
                  <w:vAlign w:val="center"/>
                </w:tcPr>
                <w:p w14:paraId="05B6B0A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w:t>
                  </w:r>
                </w:p>
              </w:tc>
              <w:tc>
                <w:tcPr>
                  <w:tcW w:w="845" w:type="pct"/>
                  <w:tcBorders>
                    <w:tl2br w:val="nil"/>
                    <w:tr2bl w:val="nil"/>
                  </w:tcBorders>
                  <w:vAlign w:val="center"/>
                </w:tcPr>
                <w:p w14:paraId="5246C1C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w:t>
                  </w:r>
                </w:p>
              </w:tc>
            </w:tr>
            <w:tr w14:paraId="3A6FC3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2" w:type="pct"/>
                  <w:gridSpan w:val="2"/>
                  <w:tcBorders>
                    <w:tl2br w:val="nil"/>
                    <w:tr2bl w:val="nil"/>
                  </w:tcBorders>
                  <w:shd w:val="clear" w:color="auto" w:fill="auto"/>
                  <w:vAlign w:val="center"/>
                </w:tcPr>
                <w:p w14:paraId="49028D6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达标情况</w:t>
                  </w:r>
                </w:p>
              </w:tc>
              <w:tc>
                <w:tcPr>
                  <w:tcW w:w="516" w:type="pct"/>
                  <w:tcBorders>
                    <w:tl2br w:val="nil"/>
                    <w:tr2bl w:val="nil"/>
                  </w:tcBorders>
                  <w:vAlign w:val="center"/>
                </w:tcPr>
                <w:p w14:paraId="11C8812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c>
                <w:tcPr>
                  <w:tcW w:w="843" w:type="pct"/>
                  <w:tcBorders>
                    <w:tl2br w:val="nil"/>
                    <w:tr2bl w:val="nil"/>
                  </w:tcBorders>
                  <w:vAlign w:val="center"/>
                </w:tcPr>
                <w:p w14:paraId="51D5D05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c>
                <w:tcPr>
                  <w:tcW w:w="843" w:type="pct"/>
                  <w:tcBorders>
                    <w:tl2br w:val="nil"/>
                    <w:tr2bl w:val="nil"/>
                  </w:tcBorders>
                  <w:vAlign w:val="center"/>
                </w:tcPr>
                <w:p w14:paraId="765C66B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c>
                <w:tcPr>
                  <w:tcW w:w="845" w:type="pct"/>
                  <w:tcBorders>
                    <w:tl2br w:val="nil"/>
                    <w:tr2bl w:val="nil"/>
                  </w:tcBorders>
                  <w:vAlign w:val="center"/>
                </w:tcPr>
                <w:p w14:paraId="428C6E8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0C975D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450A3E8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厂界上风向G3</w:t>
                  </w:r>
                </w:p>
              </w:tc>
              <w:tc>
                <w:tcPr>
                  <w:tcW w:w="694" w:type="pct"/>
                  <w:vMerge w:val="restart"/>
                  <w:tcBorders>
                    <w:tl2br w:val="nil"/>
                    <w:tr2bl w:val="nil"/>
                  </w:tcBorders>
                  <w:shd w:val="clear" w:color="auto" w:fill="auto"/>
                  <w:vAlign w:val="center"/>
                </w:tcPr>
                <w:p w14:paraId="0A00231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非甲烷总烃（1.10）</w:t>
                  </w:r>
                </w:p>
              </w:tc>
              <w:tc>
                <w:tcPr>
                  <w:tcW w:w="857" w:type="dxa"/>
                  <w:tcBorders>
                    <w:tl2br w:val="nil"/>
                    <w:tr2bl w:val="nil"/>
                  </w:tcBorders>
                  <w:vAlign w:val="center"/>
                </w:tcPr>
                <w:p w14:paraId="14E8817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0.71</w:t>
                  </w:r>
                </w:p>
              </w:tc>
              <w:tc>
                <w:tcPr>
                  <w:tcW w:w="1400" w:type="dxa"/>
                  <w:tcBorders>
                    <w:tl2br w:val="nil"/>
                    <w:tr2bl w:val="nil"/>
                  </w:tcBorders>
                  <w:vAlign w:val="center"/>
                </w:tcPr>
                <w:p w14:paraId="39FE671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0.77</w:t>
                  </w:r>
                </w:p>
              </w:tc>
              <w:tc>
                <w:tcPr>
                  <w:tcW w:w="1400" w:type="dxa"/>
                  <w:tcBorders>
                    <w:tl2br w:val="nil"/>
                    <w:tr2bl w:val="nil"/>
                  </w:tcBorders>
                  <w:vAlign w:val="center"/>
                </w:tcPr>
                <w:p w14:paraId="5A3B7AA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0.76</w:t>
                  </w:r>
                </w:p>
              </w:tc>
              <w:tc>
                <w:tcPr>
                  <w:tcW w:w="1404" w:type="dxa"/>
                  <w:tcBorders>
                    <w:tl2br w:val="nil"/>
                    <w:tr2bl w:val="nil"/>
                  </w:tcBorders>
                  <w:vAlign w:val="center"/>
                </w:tcPr>
                <w:p w14:paraId="4997162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0.75</w:t>
                  </w:r>
                </w:p>
              </w:tc>
            </w:tr>
            <w:tr w14:paraId="2B6F3A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54468EA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厂界下风向G4</w:t>
                  </w:r>
                </w:p>
              </w:tc>
              <w:tc>
                <w:tcPr>
                  <w:tcW w:w="694" w:type="pct"/>
                  <w:vMerge w:val="continue"/>
                  <w:tcBorders>
                    <w:tl2br w:val="nil"/>
                    <w:tr2bl w:val="nil"/>
                  </w:tcBorders>
                  <w:shd w:val="clear" w:color="auto" w:fill="auto"/>
                  <w:vAlign w:val="center"/>
                </w:tcPr>
                <w:p w14:paraId="6F40644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57" w:type="dxa"/>
                  <w:tcBorders>
                    <w:tl2br w:val="nil"/>
                    <w:tr2bl w:val="nil"/>
                  </w:tcBorders>
                  <w:vAlign w:val="center"/>
                </w:tcPr>
                <w:p w14:paraId="630AE3D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0.63</w:t>
                  </w:r>
                </w:p>
              </w:tc>
              <w:tc>
                <w:tcPr>
                  <w:tcW w:w="1400" w:type="dxa"/>
                  <w:tcBorders>
                    <w:tl2br w:val="nil"/>
                    <w:tr2bl w:val="nil"/>
                  </w:tcBorders>
                  <w:vAlign w:val="center"/>
                </w:tcPr>
                <w:p w14:paraId="3C10A0F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0.65</w:t>
                  </w:r>
                </w:p>
              </w:tc>
              <w:tc>
                <w:tcPr>
                  <w:tcW w:w="1400" w:type="dxa"/>
                  <w:tcBorders>
                    <w:tl2br w:val="nil"/>
                    <w:tr2bl w:val="nil"/>
                  </w:tcBorders>
                  <w:vAlign w:val="center"/>
                </w:tcPr>
                <w:p w14:paraId="7E48BBC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0.66</w:t>
                  </w:r>
                </w:p>
              </w:tc>
              <w:tc>
                <w:tcPr>
                  <w:tcW w:w="1404" w:type="dxa"/>
                  <w:tcBorders>
                    <w:tl2br w:val="nil"/>
                    <w:tr2bl w:val="nil"/>
                  </w:tcBorders>
                  <w:vAlign w:val="center"/>
                </w:tcPr>
                <w:p w14:paraId="523F535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0.62</w:t>
                  </w:r>
                </w:p>
              </w:tc>
            </w:tr>
            <w:tr w14:paraId="303E2E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0FF9721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厂界下风向G5</w:t>
                  </w:r>
                </w:p>
              </w:tc>
              <w:tc>
                <w:tcPr>
                  <w:tcW w:w="694" w:type="pct"/>
                  <w:vMerge w:val="continue"/>
                  <w:tcBorders>
                    <w:tl2br w:val="nil"/>
                    <w:tr2bl w:val="nil"/>
                  </w:tcBorders>
                  <w:shd w:val="clear" w:color="auto" w:fill="auto"/>
                  <w:vAlign w:val="center"/>
                </w:tcPr>
                <w:p w14:paraId="65A6AE4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57" w:type="dxa"/>
                  <w:tcBorders>
                    <w:tl2br w:val="nil"/>
                    <w:tr2bl w:val="nil"/>
                  </w:tcBorders>
                  <w:vAlign w:val="center"/>
                </w:tcPr>
                <w:p w14:paraId="31C0D6E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0.62</w:t>
                  </w:r>
                </w:p>
              </w:tc>
              <w:tc>
                <w:tcPr>
                  <w:tcW w:w="1400" w:type="dxa"/>
                  <w:tcBorders>
                    <w:tl2br w:val="nil"/>
                    <w:tr2bl w:val="nil"/>
                  </w:tcBorders>
                  <w:vAlign w:val="center"/>
                </w:tcPr>
                <w:p w14:paraId="06178A8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0.62</w:t>
                  </w:r>
                </w:p>
              </w:tc>
              <w:tc>
                <w:tcPr>
                  <w:tcW w:w="1400" w:type="dxa"/>
                  <w:tcBorders>
                    <w:tl2br w:val="nil"/>
                    <w:tr2bl w:val="nil"/>
                  </w:tcBorders>
                  <w:vAlign w:val="center"/>
                </w:tcPr>
                <w:p w14:paraId="776239E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0.64</w:t>
                  </w:r>
                </w:p>
              </w:tc>
              <w:tc>
                <w:tcPr>
                  <w:tcW w:w="1404" w:type="dxa"/>
                  <w:tcBorders>
                    <w:tl2br w:val="nil"/>
                    <w:tr2bl w:val="nil"/>
                  </w:tcBorders>
                  <w:vAlign w:val="center"/>
                </w:tcPr>
                <w:p w14:paraId="3967135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0.62</w:t>
                  </w:r>
                </w:p>
              </w:tc>
            </w:tr>
            <w:tr w14:paraId="72F961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19279D9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厂界下风向G6</w:t>
                  </w:r>
                </w:p>
              </w:tc>
              <w:tc>
                <w:tcPr>
                  <w:tcW w:w="694" w:type="pct"/>
                  <w:vMerge w:val="continue"/>
                  <w:tcBorders>
                    <w:tl2br w:val="nil"/>
                    <w:tr2bl w:val="nil"/>
                  </w:tcBorders>
                  <w:shd w:val="clear" w:color="auto" w:fill="auto"/>
                  <w:vAlign w:val="center"/>
                </w:tcPr>
                <w:p w14:paraId="1001160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57" w:type="dxa"/>
                  <w:tcBorders>
                    <w:tl2br w:val="nil"/>
                    <w:tr2bl w:val="nil"/>
                  </w:tcBorders>
                  <w:vAlign w:val="center"/>
                </w:tcPr>
                <w:p w14:paraId="1BE0C5D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0.72</w:t>
                  </w:r>
                </w:p>
              </w:tc>
              <w:tc>
                <w:tcPr>
                  <w:tcW w:w="1400" w:type="dxa"/>
                  <w:tcBorders>
                    <w:tl2br w:val="nil"/>
                    <w:tr2bl w:val="nil"/>
                  </w:tcBorders>
                  <w:vAlign w:val="center"/>
                </w:tcPr>
                <w:p w14:paraId="19E89E5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0.77</w:t>
                  </w:r>
                </w:p>
              </w:tc>
              <w:tc>
                <w:tcPr>
                  <w:tcW w:w="1400" w:type="dxa"/>
                  <w:tcBorders>
                    <w:tl2br w:val="nil"/>
                    <w:tr2bl w:val="nil"/>
                  </w:tcBorders>
                  <w:vAlign w:val="center"/>
                </w:tcPr>
                <w:p w14:paraId="1958678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0.73</w:t>
                  </w:r>
                </w:p>
              </w:tc>
              <w:tc>
                <w:tcPr>
                  <w:tcW w:w="1404" w:type="dxa"/>
                  <w:tcBorders>
                    <w:tl2br w:val="nil"/>
                    <w:tr2bl w:val="nil"/>
                  </w:tcBorders>
                  <w:vAlign w:val="center"/>
                </w:tcPr>
                <w:p w14:paraId="27CDCF7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0.72</w:t>
                  </w:r>
                </w:p>
              </w:tc>
            </w:tr>
            <w:tr w14:paraId="385589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6B26933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厂区内G2</w:t>
                  </w:r>
                </w:p>
              </w:tc>
              <w:tc>
                <w:tcPr>
                  <w:tcW w:w="694" w:type="pct"/>
                  <w:vMerge w:val="continue"/>
                  <w:tcBorders>
                    <w:tl2br w:val="nil"/>
                    <w:tr2bl w:val="nil"/>
                  </w:tcBorders>
                  <w:shd w:val="clear" w:color="auto" w:fill="auto"/>
                  <w:vAlign w:val="center"/>
                </w:tcPr>
                <w:p w14:paraId="403DD40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57" w:type="dxa"/>
                  <w:tcBorders>
                    <w:tl2br w:val="nil"/>
                    <w:tr2bl w:val="nil"/>
                  </w:tcBorders>
                  <w:vAlign w:val="center"/>
                </w:tcPr>
                <w:p w14:paraId="7FB665B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0.87</w:t>
                  </w:r>
                </w:p>
              </w:tc>
              <w:tc>
                <w:tcPr>
                  <w:tcW w:w="1400" w:type="dxa"/>
                  <w:tcBorders>
                    <w:tl2br w:val="nil"/>
                    <w:tr2bl w:val="nil"/>
                  </w:tcBorders>
                  <w:vAlign w:val="center"/>
                </w:tcPr>
                <w:p w14:paraId="7348EB6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0.87</w:t>
                  </w:r>
                </w:p>
              </w:tc>
              <w:tc>
                <w:tcPr>
                  <w:tcW w:w="1400" w:type="dxa"/>
                  <w:tcBorders>
                    <w:tl2br w:val="nil"/>
                    <w:tr2bl w:val="nil"/>
                  </w:tcBorders>
                  <w:vAlign w:val="center"/>
                </w:tcPr>
                <w:p w14:paraId="7192A16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0.87</w:t>
                  </w:r>
                </w:p>
              </w:tc>
              <w:tc>
                <w:tcPr>
                  <w:tcW w:w="1404" w:type="dxa"/>
                  <w:tcBorders>
                    <w:tl2br w:val="nil"/>
                    <w:tr2bl w:val="nil"/>
                  </w:tcBorders>
                  <w:vAlign w:val="center"/>
                </w:tcPr>
                <w:p w14:paraId="03BFDB6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0.87</w:t>
                  </w:r>
                </w:p>
              </w:tc>
            </w:tr>
            <w:tr w14:paraId="5AB4C0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736A99A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厂界上风向G3</w:t>
                  </w:r>
                </w:p>
              </w:tc>
              <w:tc>
                <w:tcPr>
                  <w:tcW w:w="694" w:type="pct"/>
                  <w:vMerge w:val="restart"/>
                  <w:tcBorders>
                    <w:tl2br w:val="nil"/>
                    <w:tr2bl w:val="nil"/>
                  </w:tcBorders>
                  <w:shd w:val="clear" w:color="auto" w:fill="auto"/>
                  <w:vAlign w:val="center"/>
                </w:tcPr>
                <w:p w14:paraId="714B2DF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非甲烷总烃（1.11）</w:t>
                  </w:r>
                </w:p>
              </w:tc>
              <w:tc>
                <w:tcPr>
                  <w:tcW w:w="857" w:type="dxa"/>
                  <w:tcBorders>
                    <w:tl2br w:val="nil"/>
                    <w:tr2bl w:val="nil"/>
                  </w:tcBorders>
                  <w:vAlign w:val="center"/>
                </w:tcPr>
                <w:p w14:paraId="0C58BCB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0.51</w:t>
                  </w:r>
                </w:p>
              </w:tc>
              <w:tc>
                <w:tcPr>
                  <w:tcW w:w="1400" w:type="dxa"/>
                  <w:tcBorders>
                    <w:tl2br w:val="nil"/>
                    <w:tr2bl w:val="nil"/>
                  </w:tcBorders>
                  <w:vAlign w:val="center"/>
                </w:tcPr>
                <w:p w14:paraId="6B3D782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0.56</w:t>
                  </w:r>
                </w:p>
              </w:tc>
              <w:tc>
                <w:tcPr>
                  <w:tcW w:w="1400" w:type="dxa"/>
                  <w:tcBorders>
                    <w:tl2br w:val="nil"/>
                    <w:tr2bl w:val="nil"/>
                  </w:tcBorders>
                  <w:vAlign w:val="center"/>
                </w:tcPr>
                <w:p w14:paraId="1EE79F3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0.55</w:t>
                  </w:r>
                </w:p>
              </w:tc>
              <w:tc>
                <w:tcPr>
                  <w:tcW w:w="1404" w:type="dxa"/>
                  <w:tcBorders>
                    <w:tl2br w:val="nil"/>
                    <w:tr2bl w:val="nil"/>
                  </w:tcBorders>
                  <w:vAlign w:val="center"/>
                </w:tcPr>
                <w:p w14:paraId="2C403C0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0.60</w:t>
                  </w:r>
                </w:p>
              </w:tc>
            </w:tr>
            <w:tr w14:paraId="44D901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6BE101F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厂界下风向G4</w:t>
                  </w:r>
                </w:p>
              </w:tc>
              <w:tc>
                <w:tcPr>
                  <w:tcW w:w="694" w:type="pct"/>
                  <w:vMerge w:val="continue"/>
                  <w:tcBorders>
                    <w:tl2br w:val="nil"/>
                    <w:tr2bl w:val="nil"/>
                  </w:tcBorders>
                  <w:shd w:val="clear" w:color="auto" w:fill="auto"/>
                  <w:vAlign w:val="center"/>
                </w:tcPr>
                <w:p w14:paraId="291D235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57" w:type="dxa"/>
                  <w:tcBorders>
                    <w:tl2br w:val="nil"/>
                    <w:tr2bl w:val="nil"/>
                  </w:tcBorders>
                  <w:vAlign w:val="center"/>
                </w:tcPr>
                <w:p w14:paraId="407D28A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0.46</w:t>
                  </w:r>
                </w:p>
              </w:tc>
              <w:tc>
                <w:tcPr>
                  <w:tcW w:w="1400" w:type="dxa"/>
                  <w:tcBorders>
                    <w:tl2br w:val="nil"/>
                    <w:tr2bl w:val="nil"/>
                  </w:tcBorders>
                  <w:vAlign w:val="center"/>
                </w:tcPr>
                <w:p w14:paraId="1FFF8A7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0.47</w:t>
                  </w:r>
                </w:p>
              </w:tc>
              <w:tc>
                <w:tcPr>
                  <w:tcW w:w="1400" w:type="dxa"/>
                  <w:tcBorders>
                    <w:tl2br w:val="nil"/>
                    <w:tr2bl w:val="nil"/>
                  </w:tcBorders>
                  <w:vAlign w:val="center"/>
                </w:tcPr>
                <w:p w14:paraId="3C4DE16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0.47</w:t>
                  </w:r>
                </w:p>
              </w:tc>
              <w:tc>
                <w:tcPr>
                  <w:tcW w:w="1404" w:type="dxa"/>
                  <w:tcBorders>
                    <w:tl2br w:val="nil"/>
                    <w:tr2bl w:val="nil"/>
                  </w:tcBorders>
                  <w:vAlign w:val="center"/>
                </w:tcPr>
                <w:p w14:paraId="2B3231F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0.48</w:t>
                  </w:r>
                </w:p>
              </w:tc>
            </w:tr>
            <w:tr w14:paraId="3F1CFA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250C05A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厂界下风向G5</w:t>
                  </w:r>
                </w:p>
              </w:tc>
              <w:tc>
                <w:tcPr>
                  <w:tcW w:w="694" w:type="pct"/>
                  <w:vMerge w:val="continue"/>
                  <w:tcBorders>
                    <w:tl2br w:val="nil"/>
                    <w:tr2bl w:val="nil"/>
                  </w:tcBorders>
                  <w:shd w:val="clear" w:color="auto" w:fill="auto"/>
                  <w:vAlign w:val="center"/>
                </w:tcPr>
                <w:p w14:paraId="4B54202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57" w:type="dxa"/>
                  <w:tcBorders>
                    <w:tl2br w:val="nil"/>
                    <w:tr2bl w:val="nil"/>
                  </w:tcBorders>
                  <w:vAlign w:val="center"/>
                </w:tcPr>
                <w:p w14:paraId="67E428F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0.41</w:t>
                  </w:r>
                </w:p>
              </w:tc>
              <w:tc>
                <w:tcPr>
                  <w:tcW w:w="1400" w:type="dxa"/>
                  <w:tcBorders>
                    <w:tl2br w:val="nil"/>
                    <w:tr2bl w:val="nil"/>
                  </w:tcBorders>
                  <w:vAlign w:val="center"/>
                </w:tcPr>
                <w:p w14:paraId="5D0732F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0.41</w:t>
                  </w:r>
                </w:p>
              </w:tc>
              <w:tc>
                <w:tcPr>
                  <w:tcW w:w="1400" w:type="dxa"/>
                  <w:tcBorders>
                    <w:tl2br w:val="nil"/>
                    <w:tr2bl w:val="nil"/>
                  </w:tcBorders>
                  <w:vAlign w:val="center"/>
                </w:tcPr>
                <w:p w14:paraId="4BC7A86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0.41</w:t>
                  </w:r>
                </w:p>
              </w:tc>
              <w:tc>
                <w:tcPr>
                  <w:tcW w:w="1404" w:type="dxa"/>
                  <w:tcBorders>
                    <w:tl2br w:val="nil"/>
                    <w:tr2bl w:val="nil"/>
                  </w:tcBorders>
                  <w:vAlign w:val="center"/>
                </w:tcPr>
                <w:p w14:paraId="4ED65EF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0.41</w:t>
                  </w:r>
                </w:p>
              </w:tc>
            </w:tr>
            <w:tr w14:paraId="539C2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69E0051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厂界下风向G6</w:t>
                  </w:r>
                </w:p>
              </w:tc>
              <w:tc>
                <w:tcPr>
                  <w:tcW w:w="694" w:type="pct"/>
                  <w:vMerge w:val="continue"/>
                  <w:tcBorders>
                    <w:tl2br w:val="nil"/>
                    <w:tr2bl w:val="nil"/>
                  </w:tcBorders>
                  <w:shd w:val="clear" w:color="auto" w:fill="auto"/>
                  <w:vAlign w:val="center"/>
                </w:tcPr>
                <w:p w14:paraId="2386778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57" w:type="dxa"/>
                  <w:tcBorders>
                    <w:tl2br w:val="nil"/>
                    <w:tr2bl w:val="nil"/>
                  </w:tcBorders>
                  <w:vAlign w:val="center"/>
                </w:tcPr>
                <w:p w14:paraId="7FC8B78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0.36</w:t>
                  </w:r>
                </w:p>
              </w:tc>
              <w:tc>
                <w:tcPr>
                  <w:tcW w:w="1400" w:type="dxa"/>
                  <w:tcBorders>
                    <w:tl2br w:val="nil"/>
                    <w:tr2bl w:val="nil"/>
                  </w:tcBorders>
                  <w:vAlign w:val="center"/>
                </w:tcPr>
                <w:p w14:paraId="0DB46C9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0.40</w:t>
                  </w:r>
                </w:p>
              </w:tc>
              <w:tc>
                <w:tcPr>
                  <w:tcW w:w="1400" w:type="dxa"/>
                  <w:tcBorders>
                    <w:tl2br w:val="nil"/>
                    <w:tr2bl w:val="nil"/>
                  </w:tcBorders>
                  <w:vAlign w:val="center"/>
                </w:tcPr>
                <w:p w14:paraId="677651F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0.39</w:t>
                  </w:r>
                </w:p>
              </w:tc>
              <w:tc>
                <w:tcPr>
                  <w:tcW w:w="1404" w:type="dxa"/>
                  <w:tcBorders>
                    <w:tl2br w:val="nil"/>
                    <w:tr2bl w:val="nil"/>
                  </w:tcBorders>
                  <w:vAlign w:val="center"/>
                </w:tcPr>
                <w:p w14:paraId="21CE81D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0.38</w:t>
                  </w:r>
                </w:p>
              </w:tc>
            </w:tr>
            <w:tr w14:paraId="49EF5D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88" w:type="dxa"/>
                  <w:tcBorders>
                    <w:tl2br w:val="nil"/>
                    <w:tr2bl w:val="nil"/>
                  </w:tcBorders>
                  <w:shd w:val="clear" w:color="auto" w:fill="auto"/>
                  <w:vAlign w:val="center"/>
                </w:tcPr>
                <w:p w14:paraId="06D8783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厂区内G2</w:t>
                  </w:r>
                </w:p>
              </w:tc>
              <w:tc>
                <w:tcPr>
                  <w:tcW w:w="694" w:type="pct"/>
                  <w:vMerge w:val="continue"/>
                  <w:tcBorders>
                    <w:tl2br w:val="nil"/>
                    <w:tr2bl w:val="nil"/>
                  </w:tcBorders>
                  <w:shd w:val="clear" w:color="auto" w:fill="auto"/>
                  <w:vAlign w:val="center"/>
                </w:tcPr>
                <w:p w14:paraId="12A9A7A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p>
              </w:tc>
              <w:tc>
                <w:tcPr>
                  <w:tcW w:w="857" w:type="dxa"/>
                  <w:tcBorders>
                    <w:tl2br w:val="nil"/>
                    <w:tr2bl w:val="nil"/>
                  </w:tcBorders>
                  <w:vAlign w:val="center"/>
                </w:tcPr>
                <w:p w14:paraId="00911D1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0.68</w:t>
                  </w:r>
                </w:p>
              </w:tc>
              <w:tc>
                <w:tcPr>
                  <w:tcW w:w="1400" w:type="dxa"/>
                  <w:tcBorders>
                    <w:tl2br w:val="nil"/>
                    <w:tr2bl w:val="nil"/>
                  </w:tcBorders>
                  <w:vAlign w:val="center"/>
                </w:tcPr>
                <w:p w14:paraId="03B255A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0.66</w:t>
                  </w:r>
                </w:p>
              </w:tc>
              <w:tc>
                <w:tcPr>
                  <w:tcW w:w="1400" w:type="dxa"/>
                  <w:tcBorders>
                    <w:tl2br w:val="nil"/>
                    <w:tr2bl w:val="nil"/>
                  </w:tcBorders>
                  <w:vAlign w:val="center"/>
                </w:tcPr>
                <w:p w14:paraId="4BFB043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0.67</w:t>
                  </w:r>
                </w:p>
              </w:tc>
              <w:tc>
                <w:tcPr>
                  <w:tcW w:w="1404" w:type="dxa"/>
                  <w:tcBorders>
                    <w:tl2br w:val="nil"/>
                    <w:tr2bl w:val="nil"/>
                  </w:tcBorders>
                  <w:vAlign w:val="center"/>
                </w:tcPr>
                <w:p w14:paraId="28FBEE1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0.66</w:t>
                  </w:r>
                </w:p>
              </w:tc>
            </w:tr>
            <w:tr w14:paraId="46842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57" w:type="pct"/>
                  <w:vMerge w:val="restart"/>
                  <w:tcBorders>
                    <w:tl2br w:val="nil"/>
                    <w:tr2bl w:val="nil"/>
                  </w:tcBorders>
                  <w:shd w:val="clear" w:color="auto" w:fill="auto"/>
                  <w:vAlign w:val="center"/>
                </w:tcPr>
                <w:p w14:paraId="395F628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排放标准</w:t>
                  </w:r>
                </w:p>
              </w:tc>
              <w:tc>
                <w:tcPr>
                  <w:tcW w:w="694" w:type="pct"/>
                  <w:tcBorders>
                    <w:tl2br w:val="nil"/>
                    <w:tr2bl w:val="nil"/>
                  </w:tcBorders>
                  <w:shd w:val="clear" w:color="auto" w:fill="auto"/>
                  <w:vAlign w:val="center"/>
                </w:tcPr>
                <w:p w14:paraId="74E5089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厂界</w:t>
                  </w:r>
                </w:p>
              </w:tc>
              <w:tc>
                <w:tcPr>
                  <w:tcW w:w="516" w:type="pct"/>
                  <w:tcBorders>
                    <w:tl2br w:val="nil"/>
                    <w:tr2bl w:val="nil"/>
                  </w:tcBorders>
                  <w:vAlign w:val="center"/>
                </w:tcPr>
                <w:p w14:paraId="6FD6F24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w:t>
                  </w:r>
                </w:p>
              </w:tc>
              <w:tc>
                <w:tcPr>
                  <w:tcW w:w="843" w:type="pct"/>
                  <w:tcBorders>
                    <w:tl2br w:val="nil"/>
                    <w:tr2bl w:val="nil"/>
                  </w:tcBorders>
                  <w:vAlign w:val="center"/>
                </w:tcPr>
                <w:p w14:paraId="345E39F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w:t>
                  </w:r>
                </w:p>
              </w:tc>
              <w:tc>
                <w:tcPr>
                  <w:tcW w:w="843" w:type="pct"/>
                  <w:tcBorders>
                    <w:tl2br w:val="nil"/>
                    <w:tr2bl w:val="nil"/>
                  </w:tcBorders>
                  <w:vAlign w:val="center"/>
                </w:tcPr>
                <w:p w14:paraId="6894AC3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w:t>
                  </w:r>
                </w:p>
              </w:tc>
              <w:tc>
                <w:tcPr>
                  <w:tcW w:w="845" w:type="pct"/>
                  <w:tcBorders>
                    <w:tl2br w:val="nil"/>
                    <w:tr2bl w:val="nil"/>
                  </w:tcBorders>
                  <w:vAlign w:val="center"/>
                </w:tcPr>
                <w:p w14:paraId="5F349D6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w:t>
                  </w:r>
                </w:p>
              </w:tc>
            </w:tr>
            <w:tr w14:paraId="761930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57" w:type="pct"/>
                  <w:vMerge w:val="continue"/>
                  <w:tcBorders>
                    <w:tl2br w:val="nil"/>
                    <w:tr2bl w:val="nil"/>
                  </w:tcBorders>
                  <w:shd w:val="clear" w:color="auto" w:fill="auto"/>
                  <w:vAlign w:val="center"/>
                </w:tcPr>
                <w:p w14:paraId="49A1320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p>
              </w:tc>
              <w:tc>
                <w:tcPr>
                  <w:tcW w:w="694" w:type="pct"/>
                  <w:tcBorders>
                    <w:tl2br w:val="nil"/>
                    <w:tr2bl w:val="nil"/>
                  </w:tcBorders>
                  <w:shd w:val="clear" w:color="auto" w:fill="auto"/>
                  <w:vAlign w:val="center"/>
                </w:tcPr>
                <w:p w14:paraId="43CE360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厂区内</w:t>
                  </w:r>
                </w:p>
              </w:tc>
              <w:tc>
                <w:tcPr>
                  <w:tcW w:w="516" w:type="pct"/>
                  <w:tcBorders>
                    <w:tl2br w:val="nil"/>
                    <w:tr2bl w:val="nil"/>
                  </w:tcBorders>
                  <w:vAlign w:val="center"/>
                </w:tcPr>
                <w:p w14:paraId="62EBC61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c>
                <w:tcPr>
                  <w:tcW w:w="843" w:type="pct"/>
                  <w:tcBorders>
                    <w:tl2br w:val="nil"/>
                    <w:tr2bl w:val="nil"/>
                  </w:tcBorders>
                  <w:vAlign w:val="center"/>
                </w:tcPr>
                <w:p w14:paraId="46B3395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c>
                <w:tcPr>
                  <w:tcW w:w="843" w:type="pct"/>
                  <w:tcBorders>
                    <w:tl2br w:val="nil"/>
                    <w:tr2bl w:val="nil"/>
                  </w:tcBorders>
                  <w:vAlign w:val="center"/>
                </w:tcPr>
                <w:p w14:paraId="3E12A8E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c>
                <w:tcPr>
                  <w:tcW w:w="845" w:type="pct"/>
                  <w:tcBorders>
                    <w:tl2br w:val="nil"/>
                    <w:tr2bl w:val="nil"/>
                  </w:tcBorders>
                  <w:vAlign w:val="center"/>
                </w:tcPr>
                <w:p w14:paraId="30F56E6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r>
            <w:tr w14:paraId="652242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2" w:type="pct"/>
                  <w:gridSpan w:val="2"/>
                  <w:tcBorders>
                    <w:tl2br w:val="nil"/>
                    <w:tr2bl w:val="nil"/>
                  </w:tcBorders>
                  <w:shd w:val="clear" w:color="auto" w:fill="auto"/>
                  <w:vAlign w:val="center"/>
                </w:tcPr>
                <w:p w14:paraId="4DE2101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达标情况</w:t>
                  </w:r>
                </w:p>
              </w:tc>
              <w:tc>
                <w:tcPr>
                  <w:tcW w:w="516" w:type="pct"/>
                  <w:tcBorders>
                    <w:tl2br w:val="nil"/>
                    <w:tr2bl w:val="nil"/>
                  </w:tcBorders>
                  <w:vAlign w:val="center"/>
                </w:tcPr>
                <w:p w14:paraId="78E8C3A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c>
                <w:tcPr>
                  <w:tcW w:w="843" w:type="pct"/>
                  <w:tcBorders>
                    <w:tl2br w:val="nil"/>
                    <w:tr2bl w:val="nil"/>
                  </w:tcBorders>
                  <w:vAlign w:val="center"/>
                </w:tcPr>
                <w:p w14:paraId="712C29F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c>
                <w:tcPr>
                  <w:tcW w:w="843" w:type="pct"/>
                  <w:tcBorders>
                    <w:tl2br w:val="nil"/>
                    <w:tr2bl w:val="nil"/>
                  </w:tcBorders>
                  <w:vAlign w:val="center"/>
                </w:tcPr>
                <w:p w14:paraId="692A21E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c>
                <w:tcPr>
                  <w:tcW w:w="845" w:type="pct"/>
                  <w:tcBorders>
                    <w:tl2br w:val="nil"/>
                    <w:tr2bl w:val="nil"/>
                  </w:tcBorders>
                  <w:vAlign w:val="center"/>
                </w:tcPr>
                <w:p w14:paraId="41889CA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bl>
          <w:p w14:paraId="3DB48665">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auto"/>
                <w:sz w:val="24"/>
                <w:szCs w:val="24"/>
                <w:lang w:val="en-US" w:eastAsia="zh-CN"/>
              </w:rPr>
              <w:t>综合上述检测数据可知，</w:t>
            </w:r>
            <w:r>
              <w:rPr>
                <w:rFonts w:hint="default" w:ascii="Times New Roman" w:hAnsi="Times New Roman" w:eastAsia="宋体" w:cs="Times New Roman"/>
                <w:color w:val="auto"/>
                <w:sz w:val="24"/>
                <w:szCs w:val="24"/>
                <w:lang w:eastAsia="zh-CN"/>
              </w:rPr>
              <w:t>项目</w:t>
            </w:r>
            <w:r>
              <w:rPr>
                <w:rFonts w:hint="eastAsia" w:ascii="Times New Roman" w:hAnsi="Times New Roman" w:eastAsia="宋体" w:cs="Times New Roman"/>
                <w:color w:val="auto"/>
                <w:sz w:val="24"/>
                <w:szCs w:val="24"/>
                <w:lang w:val="en-US" w:eastAsia="zh-CN"/>
              </w:rPr>
              <w:t>DA001非甲烷总烃最高浓度为55.4 mg/m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，最高排放速率为1.17kg/h；甲醇最高浓度为36.3 mg/m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，最高排放速率为0.691kg/h均</w:t>
            </w:r>
            <w:r>
              <w:rPr>
                <w:rFonts w:hint="default" w:ascii="Times New Roman" w:hAnsi="Times New Roman" w:eastAsia="宋体" w:cs="Times New Roman"/>
                <w:color w:val="auto"/>
                <w:sz w:val="24"/>
                <w:szCs w:val="24"/>
                <w:lang w:val="en-US" w:eastAsia="zh-CN"/>
              </w:rPr>
              <w:t>满足《大气污染物综合排放标准》</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GB16297-1996</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表2中的二级排放标准</w:t>
            </w:r>
            <w:r>
              <w:rPr>
                <w:rFonts w:hint="default" w:ascii="Times New Roman" w:hAnsi="Times New Roman" w:eastAsia="宋体" w:cs="Times New Roman"/>
                <w:color w:val="auto"/>
                <w:sz w:val="24"/>
                <w:szCs w:val="24"/>
              </w:rPr>
              <w:t>。</w:t>
            </w:r>
          </w:p>
          <w:p w14:paraId="09658F5F">
            <w:pPr>
              <w:keepNext w:val="0"/>
              <w:keepLines w:val="0"/>
              <w:pageBreakBefore w:val="0"/>
              <w:widowControl/>
              <w:kinsoku/>
              <w:wordWrap w:val="0"/>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FF0000"/>
                <w:kern w:val="3"/>
                <w:sz w:val="24"/>
                <w:szCs w:val="24"/>
              </w:rPr>
            </w:pPr>
            <w:r>
              <w:rPr>
                <w:rFonts w:hint="default" w:ascii="Times New Roman" w:hAnsi="Times New Roman" w:eastAsia="宋体" w:cs="Times New Roman"/>
                <w:color w:val="auto"/>
                <w:sz w:val="24"/>
                <w:szCs w:val="24"/>
              </w:rPr>
              <w:t>厂界非甲烷总烃最高浓度为</w:t>
            </w:r>
            <w:r>
              <w:rPr>
                <w:rFonts w:hint="eastAsia" w:ascii="Times New Roman" w:hAnsi="Times New Roman" w:eastAsia="宋体" w:cs="Times New Roman"/>
                <w:color w:val="auto"/>
                <w:sz w:val="24"/>
                <w:szCs w:val="24"/>
                <w:lang w:val="en-US" w:eastAsia="zh-CN"/>
              </w:rPr>
              <w:t xml:space="preserve">0.72 </w:t>
            </w:r>
            <w:r>
              <w:rPr>
                <w:rFonts w:hint="default" w:ascii="Times New Roman" w:hAnsi="Times New Roman" w:eastAsia="宋体" w:cs="Times New Roman"/>
                <w:color w:val="auto"/>
                <w:sz w:val="24"/>
                <w:szCs w:val="24"/>
              </w:rPr>
              <w:t>mg/m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甲醇最高浓度为0.6 mg/m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，污染物均</w:t>
            </w:r>
            <w:r>
              <w:rPr>
                <w:rFonts w:hint="default" w:ascii="Times New Roman" w:hAnsi="Times New Roman" w:eastAsia="宋体" w:cs="Times New Roman"/>
                <w:color w:val="auto"/>
                <w:sz w:val="24"/>
                <w:szCs w:val="24"/>
              </w:rPr>
              <w:t>满足《大气污染物综合排放标准》（GB16297－1996）</w:t>
            </w:r>
            <w:r>
              <w:rPr>
                <w:rFonts w:hint="eastAsia" w:ascii="Times New Roman" w:hAnsi="Times New Roman" w:eastAsia="宋体" w:cs="Times New Roman"/>
                <w:color w:val="auto"/>
                <w:sz w:val="24"/>
                <w:szCs w:val="24"/>
                <w:lang w:val="en-US" w:eastAsia="zh-CN"/>
              </w:rPr>
              <w:t>中</w:t>
            </w:r>
            <w:r>
              <w:rPr>
                <w:rFonts w:hint="default" w:ascii="Times New Roman" w:hAnsi="Times New Roman" w:eastAsia="宋体" w:cs="Times New Roman"/>
                <w:color w:val="auto"/>
                <w:sz w:val="24"/>
                <w:szCs w:val="24"/>
              </w:rPr>
              <w:t>无组织排放浓度限值</w:t>
            </w:r>
            <w:r>
              <w:rPr>
                <w:rFonts w:hint="eastAsia" w:ascii="Times New Roman" w:hAnsi="Times New Roman" w:eastAsia="宋体" w:cs="Times New Roman"/>
                <w:color w:val="auto"/>
                <w:sz w:val="24"/>
                <w:szCs w:val="24"/>
                <w:lang w:val="en-US" w:eastAsia="zh-CN"/>
              </w:rPr>
              <w:t>要求；</w:t>
            </w:r>
            <w:r>
              <w:rPr>
                <w:rFonts w:hint="default" w:ascii="Times New Roman" w:hAnsi="Times New Roman" w:eastAsia="宋体" w:cs="Times New Roman"/>
                <w:color w:val="auto"/>
                <w:sz w:val="24"/>
                <w:szCs w:val="24"/>
              </w:rPr>
              <w:t>厂区内非甲烷总烃最高浓度为</w:t>
            </w:r>
            <w:r>
              <w:rPr>
                <w:rFonts w:hint="eastAsia" w:ascii="Times New Roman" w:hAnsi="Times New Roman" w:eastAsia="宋体" w:cs="Times New Roman"/>
                <w:color w:val="auto"/>
                <w:sz w:val="24"/>
                <w:szCs w:val="24"/>
                <w:lang w:val="en-US" w:eastAsia="zh-CN"/>
              </w:rPr>
              <w:t xml:space="preserve">0.87 </w:t>
            </w:r>
            <w:r>
              <w:rPr>
                <w:rFonts w:hint="default" w:ascii="Times New Roman" w:hAnsi="Times New Roman" w:eastAsia="宋体" w:cs="Times New Roman"/>
                <w:color w:val="auto"/>
                <w:sz w:val="24"/>
                <w:szCs w:val="24"/>
              </w:rPr>
              <w:t>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，满足《挥发性有机物无组织排放标准》</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GB37822-2019</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附录A中</w:t>
            </w:r>
            <w:r>
              <w:rPr>
                <w:rFonts w:hint="eastAsia" w:ascii="Times New Roman" w:hAnsi="Times New Roman" w:eastAsia="宋体" w:cs="Times New Roman"/>
                <w:color w:val="auto"/>
                <w:sz w:val="24"/>
                <w:szCs w:val="24"/>
                <w:lang w:val="en-US" w:eastAsia="zh-CN"/>
              </w:rPr>
              <w:t>无组织排放</w:t>
            </w:r>
            <w:r>
              <w:rPr>
                <w:rFonts w:hint="default" w:ascii="Times New Roman" w:hAnsi="Times New Roman" w:eastAsia="宋体" w:cs="Times New Roman"/>
                <w:color w:val="auto"/>
                <w:sz w:val="24"/>
                <w:szCs w:val="24"/>
              </w:rPr>
              <w:t>标准</w:t>
            </w:r>
            <w:r>
              <w:rPr>
                <w:rFonts w:hint="eastAsia" w:ascii="Times New Roman" w:hAnsi="Times New Roman" w:eastAsia="宋体" w:cs="Times New Roman"/>
                <w:color w:val="auto"/>
                <w:sz w:val="24"/>
                <w:szCs w:val="24"/>
                <w:lang w:val="en-US" w:eastAsia="zh-CN"/>
              </w:rPr>
              <w:t>要求</w:t>
            </w:r>
            <w:r>
              <w:rPr>
                <w:rFonts w:hint="default" w:ascii="Times New Roman" w:hAnsi="Times New Roman" w:eastAsia="宋体" w:cs="Times New Roman"/>
                <w:color w:val="auto"/>
                <w:kern w:val="3"/>
                <w:sz w:val="24"/>
                <w:szCs w:val="24"/>
              </w:rPr>
              <w:t>。</w:t>
            </w:r>
          </w:p>
          <w:p w14:paraId="7563D055">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2.废水监测结果</w:t>
            </w:r>
          </w:p>
          <w:p w14:paraId="15B8DB1C">
            <w:pPr>
              <w:pageBreakBefore w:val="0"/>
              <w:kinsoku/>
              <w:wordWrap/>
              <w:overflowPunct/>
              <w:topLinePunct w:val="0"/>
              <w:bidi w:val="0"/>
              <w:spacing w:after="0" w:line="360" w:lineRule="auto"/>
              <w:ind w:firstLine="480" w:firstLineChars="200"/>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auto"/>
                <w:sz w:val="24"/>
                <w:szCs w:val="24"/>
                <w:lang w:val="en-US" w:eastAsia="zh-CN"/>
              </w:rPr>
              <w:t>按照验收监测方案，验收</w:t>
            </w:r>
            <w:r>
              <w:rPr>
                <w:rFonts w:hint="eastAsia" w:ascii="Times New Roman" w:hAnsi="Times New Roman" w:eastAsia="宋体" w:cs="Times New Roman"/>
                <w:color w:val="auto"/>
                <w:sz w:val="24"/>
                <w:szCs w:val="24"/>
                <w:lang w:val="en-US" w:eastAsia="zh-CN"/>
              </w:rPr>
              <w:t>检</w:t>
            </w:r>
            <w:r>
              <w:rPr>
                <w:rFonts w:hint="default" w:ascii="Times New Roman" w:hAnsi="Times New Roman" w:eastAsia="宋体" w:cs="Times New Roman"/>
                <w:color w:val="auto"/>
                <w:sz w:val="24"/>
                <w:szCs w:val="24"/>
                <w:lang w:val="en-US" w:eastAsia="zh-CN"/>
              </w:rPr>
              <w:t>测单位于202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年</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月</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lang w:val="en-US" w:eastAsia="zh-CN"/>
              </w:rPr>
              <w:t>日在</w:t>
            </w:r>
            <w:r>
              <w:rPr>
                <w:rFonts w:hint="eastAsia" w:ascii="Times New Roman" w:hAnsi="Times New Roman" w:eastAsia="宋体" w:cs="Times New Roman"/>
                <w:color w:val="auto"/>
                <w:sz w:val="24"/>
                <w:szCs w:val="24"/>
                <w:lang w:val="en-US" w:eastAsia="zh-CN"/>
              </w:rPr>
              <w:t>废</w:t>
            </w:r>
            <w:r>
              <w:rPr>
                <w:rFonts w:hint="default" w:ascii="Times New Roman" w:hAnsi="Times New Roman" w:eastAsia="宋体" w:cs="Times New Roman"/>
                <w:color w:val="auto"/>
                <w:sz w:val="24"/>
                <w:szCs w:val="24"/>
                <w:lang w:val="en-US" w:eastAsia="zh-CN"/>
              </w:rPr>
              <w:t>水总排口取样检测，</w:t>
            </w:r>
            <w:r>
              <w:rPr>
                <w:rFonts w:hint="eastAsia" w:ascii="Times New Roman" w:hAnsi="Times New Roman" w:eastAsia="宋体" w:cs="Times New Roman"/>
                <w:color w:val="auto"/>
                <w:sz w:val="24"/>
                <w:szCs w:val="24"/>
                <w:lang w:val="en-US" w:eastAsia="zh-CN"/>
              </w:rPr>
              <w:t>相关</w:t>
            </w:r>
            <w:r>
              <w:rPr>
                <w:rFonts w:hint="default" w:ascii="Times New Roman" w:hAnsi="Times New Roman" w:eastAsia="宋体" w:cs="Times New Roman"/>
                <w:color w:val="auto"/>
                <w:sz w:val="24"/>
                <w:szCs w:val="24"/>
                <w:lang w:val="en-US" w:eastAsia="zh-CN"/>
              </w:rPr>
              <w:t>检测结果及达标情况见下表7-</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w:t>
            </w:r>
          </w:p>
          <w:p w14:paraId="7E58E73A">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表7-</w:t>
            </w:r>
            <w:r>
              <w:rPr>
                <w:rFonts w:hint="eastAsia" w:ascii="Times New Roman" w:hAnsi="Times New Roman" w:eastAsia="宋体" w:cs="Times New Roman"/>
                <w:b/>
                <w:bCs/>
                <w:color w:val="auto"/>
                <w:sz w:val="21"/>
                <w:szCs w:val="21"/>
                <w:lang w:val="en-US" w:eastAsia="zh-CN"/>
              </w:rPr>
              <w:t>3</w:t>
            </w:r>
            <w:r>
              <w:rPr>
                <w:rFonts w:hint="default" w:ascii="Times New Roman" w:hAnsi="Times New Roman" w:eastAsia="宋体" w:cs="Times New Roman"/>
                <w:b/>
                <w:bCs/>
                <w:color w:val="auto"/>
                <w:sz w:val="21"/>
                <w:szCs w:val="21"/>
                <w:lang w:val="en-US" w:eastAsia="zh-CN"/>
              </w:rPr>
              <w:t xml:space="preserve"> 废水检测一览表</w:t>
            </w:r>
            <w:r>
              <w:rPr>
                <w:rFonts w:hint="eastAsia" w:ascii="Times New Roman" w:hAnsi="Times New Roman" w:eastAsia="宋体" w:cs="Times New Roman"/>
                <w:b/>
                <w:bCs/>
                <w:color w:val="auto"/>
                <w:sz w:val="21"/>
                <w:szCs w:val="21"/>
                <w:lang w:val="en-US" w:eastAsia="zh-CN"/>
              </w:rPr>
              <w:t>（单位：mg/L；pH值无量纲）</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990"/>
              <w:gridCol w:w="1193"/>
              <w:gridCol w:w="970"/>
              <w:gridCol w:w="874"/>
              <w:gridCol w:w="1090"/>
              <w:gridCol w:w="1093"/>
              <w:gridCol w:w="1093"/>
            </w:tblGrid>
            <w:tr w14:paraId="6C2BEA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462" w:hRule="atLeast"/>
              </w:trPr>
              <w:tc>
                <w:tcPr>
                  <w:tcW w:w="1198" w:type="pct"/>
                  <w:tcBorders>
                    <w:tl2br w:val="nil"/>
                    <w:tr2bl w:val="nil"/>
                  </w:tcBorders>
                  <w:vAlign w:val="center"/>
                </w:tcPr>
                <w:p w14:paraId="6BC7E09C">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rPr>
                    <w:t>检测项目</w:t>
                  </w:r>
                </w:p>
              </w:tc>
              <w:tc>
                <w:tcPr>
                  <w:tcW w:w="717" w:type="pct"/>
                  <w:tcBorders>
                    <w:tl2br w:val="nil"/>
                    <w:tr2bl w:val="nil"/>
                  </w:tcBorders>
                  <w:vAlign w:val="center"/>
                </w:tcPr>
                <w:p w14:paraId="1493328D">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采样次数</w:t>
                  </w:r>
                </w:p>
              </w:tc>
              <w:tc>
                <w:tcPr>
                  <w:tcW w:w="584" w:type="pct"/>
                  <w:tcBorders>
                    <w:tl2br w:val="nil"/>
                    <w:tr2bl w:val="nil"/>
                  </w:tcBorders>
                  <w:vAlign w:val="center"/>
                </w:tcPr>
                <w:p w14:paraId="3FDD3103">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pH</w:t>
                  </w:r>
                  <w:r>
                    <w:rPr>
                      <w:rFonts w:hint="default" w:ascii="Times New Roman" w:hAnsi="Times New Roman" w:eastAsia="宋体" w:cs="Times New Roman"/>
                      <w:b/>
                      <w:bCs/>
                      <w:color w:val="auto"/>
                      <w:sz w:val="21"/>
                      <w:szCs w:val="21"/>
                      <w:lang w:val="en-US" w:eastAsia="zh-CN"/>
                    </w:rPr>
                    <w:t>值</w:t>
                  </w:r>
                </w:p>
              </w:tc>
              <w:tc>
                <w:tcPr>
                  <w:tcW w:w="526" w:type="pct"/>
                  <w:tcBorders>
                    <w:tl2br w:val="nil"/>
                    <w:tr2bl w:val="nil"/>
                  </w:tcBorders>
                  <w:vAlign w:val="center"/>
                </w:tcPr>
                <w:p w14:paraId="73FC7227">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COD</w:t>
                  </w:r>
                </w:p>
              </w:tc>
              <w:tc>
                <w:tcPr>
                  <w:tcW w:w="656" w:type="pct"/>
                  <w:tcBorders>
                    <w:tl2br w:val="nil"/>
                    <w:tr2bl w:val="nil"/>
                  </w:tcBorders>
                  <w:vAlign w:val="center"/>
                </w:tcPr>
                <w:p w14:paraId="6FF8BB11">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氨氮</w:t>
                  </w:r>
                </w:p>
              </w:tc>
              <w:tc>
                <w:tcPr>
                  <w:tcW w:w="658" w:type="pct"/>
                  <w:tcBorders>
                    <w:tl2br w:val="nil"/>
                    <w:tr2bl w:val="nil"/>
                  </w:tcBorders>
                  <w:vAlign w:val="center"/>
                </w:tcPr>
                <w:p w14:paraId="2D3E78A6">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BOD</w:t>
                  </w:r>
                  <w:r>
                    <w:rPr>
                      <w:rFonts w:hint="default" w:ascii="Times New Roman" w:hAnsi="Times New Roman" w:eastAsia="宋体" w:cs="Times New Roman"/>
                      <w:b/>
                      <w:bCs/>
                      <w:color w:val="auto"/>
                      <w:sz w:val="21"/>
                      <w:szCs w:val="21"/>
                      <w:vertAlign w:val="subscript"/>
                      <w:lang w:val="en-US" w:eastAsia="zh-CN"/>
                    </w:rPr>
                    <w:t>5</w:t>
                  </w:r>
                </w:p>
              </w:tc>
              <w:tc>
                <w:tcPr>
                  <w:tcW w:w="658" w:type="pct"/>
                  <w:tcBorders>
                    <w:tl2br w:val="nil"/>
                    <w:tr2bl w:val="nil"/>
                  </w:tcBorders>
                  <w:vAlign w:val="center"/>
                </w:tcPr>
                <w:p w14:paraId="04C47EEF">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SS</w:t>
                  </w:r>
                </w:p>
              </w:tc>
            </w:tr>
            <w:tr w14:paraId="780147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1198" w:type="pct"/>
                  <w:vMerge w:val="restart"/>
                  <w:tcBorders>
                    <w:tl2br w:val="nil"/>
                    <w:tr2bl w:val="nil"/>
                  </w:tcBorders>
                  <w:vAlign w:val="center"/>
                </w:tcPr>
                <w:p w14:paraId="18315FCC">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废水总排口</w:t>
                  </w:r>
                </w:p>
                <w:p w14:paraId="5FC4C328">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1.10</w:t>
                  </w:r>
                </w:p>
              </w:tc>
              <w:tc>
                <w:tcPr>
                  <w:tcW w:w="717" w:type="pct"/>
                  <w:tcBorders>
                    <w:tl2br w:val="nil"/>
                    <w:tr2bl w:val="nil"/>
                  </w:tcBorders>
                  <w:shd w:val="clear" w:color="auto" w:fill="auto"/>
                  <w:vAlign w:val="center"/>
                </w:tcPr>
                <w:p w14:paraId="562635C3">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第1次</w:t>
                  </w:r>
                </w:p>
              </w:tc>
              <w:tc>
                <w:tcPr>
                  <w:tcW w:w="584" w:type="pct"/>
                  <w:tcBorders>
                    <w:tl2br w:val="nil"/>
                    <w:tr2bl w:val="nil"/>
                  </w:tcBorders>
                  <w:vAlign w:val="center"/>
                </w:tcPr>
                <w:p w14:paraId="1DF8FCB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6.9</w:t>
                  </w:r>
                </w:p>
              </w:tc>
              <w:tc>
                <w:tcPr>
                  <w:tcW w:w="526" w:type="pct"/>
                  <w:tcBorders>
                    <w:tl2br w:val="nil"/>
                    <w:tr2bl w:val="nil"/>
                  </w:tcBorders>
                  <w:vAlign w:val="center"/>
                </w:tcPr>
                <w:p w14:paraId="75E1FBC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75</w:t>
                  </w:r>
                </w:p>
              </w:tc>
              <w:tc>
                <w:tcPr>
                  <w:tcW w:w="656" w:type="pct"/>
                  <w:tcBorders>
                    <w:tl2br w:val="nil"/>
                    <w:tr2bl w:val="nil"/>
                  </w:tcBorders>
                  <w:vAlign w:val="center"/>
                </w:tcPr>
                <w:p w14:paraId="64CC74B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33.5</w:t>
                  </w:r>
                </w:p>
              </w:tc>
              <w:tc>
                <w:tcPr>
                  <w:tcW w:w="658" w:type="pct"/>
                  <w:tcBorders>
                    <w:tl2br w:val="nil"/>
                    <w:tr2bl w:val="nil"/>
                  </w:tcBorders>
                  <w:vAlign w:val="center"/>
                </w:tcPr>
                <w:p w14:paraId="39ADE2D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19</w:t>
                  </w:r>
                </w:p>
              </w:tc>
              <w:tc>
                <w:tcPr>
                  <w:tcW w:w="658" w:type="pct"/>
                  <w:tcBorders>
                    <w:tl2br w:val="nil"/>
                    <w:tr2bl w:val="nil"/>
                  </w:tcBorders>
                  <w:vAlign w:val="center"/>
                </w:tcPr>
                <w:p w14:paraId="20D9718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26</w:t>
                  </w:r>
                </w:p>
              </w:tc>
            </w:tr>
            <w:tr w14:paraId="64192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1198" w:type="pct"/>
                  <w:vMerge w:val="continue"/>
                  <w:tcBorders>
                    <w:tl2br w:val="nil"/>
                    <w:tr2bl w:val="nil"/>
                  </w:tcBorders>
                  <w:vAlign w:val="center"/>
                </w:tcPr>
                <w:p w14:paraId="5AD28FE6">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17" w:type="pct"/>
                  <w:tcBorders>
                    <w:tl2br w:val="nil"/>
                    <w:tr2bl w:val="nil"/>
                  </w:tcBorders>
                  <w:shd w:val="clear" w:color="auto" w:fill="auto"/>
                  <w:vAlign w:val="center"/>
                </w:tcPr>
                <w:p w14:paraId="793BBC98">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第2次</w:t>
                  </w:r>
                </w:p>
              </w:tc>
              <w:tc>
                <w:tcPr>
                  <w:tcW w:w="584" w:type="pct"/>
                  <w:tcBorders>
                    <w:tl2br w:val="nil"/>
                    <w:tr2bl w:val="nil"/>
                  </w:tcBorders>
                  <w:vAlign w:val="center"/>
                </w:tcPr>
                <w:p w14:paraId="334E068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6.8</w:t>
                  </w:r>
                </w:p>
              </w:tc>
              <w:tc>
                <w:tcPr>
                  <w:tcW w:w="526" w:type="pct"/>
                  <w:tcBorders>
                    <w:tl2br w:val="nil"/>
                    <w:tr2bl w:val="nil"/>
                  </w:tcBorders>
                  <w:vAlign w:val="center"/>
                </w:tcPr>
                <w:p w14:paraId="3872947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58</w:t>
                  </w:r>
                </w:p>
              </w:tc>
              <w:tc>
                <w:tcPr>
                  <w:tcW w:w="656" w:type="pct"/>
                  <w:tcBorders>
                    <w:tl2br w:val="nil"/>
                    <w:tr2bl w:val="nil"/>
                  </w:tcBorders>
                  <w:vAlign w:val="center"/>
                </w:tcPr>
                <w:p w14:paraId="39BF7D7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21.0</w:t>
                  </w:r>
                </w:p>
              </w:tc>
              <w:tc>
                <w:tcPr>
                  <w:tcW w:w="658" w:type="pct"/>
                  <w:tcBorders>
                    <w:tl2br w:val="nil"/>
                    <w:tr2bl w:val="nil"/>
                  </w:tcBorders>
                  <w:vAlign w:val="center"/>
                </w:tcPr>
                <w:p w14:paraId="57C3DD3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13.2</w:t>
                  </w:r>
                </w:p>
              </w:tc>
              <w:tc>
                <w:tcPr>
                  <w:tcW w:w="658" w:type="pct"/>
                  <w:tcBorders>
                    <w:tl2br w:val="nil"/>
                    <w:tr2bl w:val="nil"/>
                  </w:tcBorders>
                  <w:vAlign w:val="center"/>
                </w:tcPr>
                <w:p w14:paraId="26978FE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24</w:t>
                  </w:r>
                </w:p>
              </w:tc>
            </w:tr>
            <w:tr w14:paraId="210D04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1198" w:type="pct"/>
                  <w:vMerge w:val="continue"/>
                  <w:tcBorders>
                    <w:tl2br w:val="nil"/>
                    <w:tr2bl w:val="nil"/>
                  </w:tcBorders>
                  <w:vAlign w:val="center"/>
                </w:tcPr>
                <w:p w14:paraId="78DC7334">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17" w:type="pct"/>
                  <w:tcBorders>
                    <w:tl2br w:val="nil"/>
                    <w:tr2bl w:val="nil"/>
                  </w:tcBorders>
                  <w:shd w:val="clear" w:color="auto" w:fill="auto"/>
                  <w:vAlign w:val="center"/>
                </w:tcPr>
                <w:p w14:paraId="51073C16">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第3次</w:t>
                  </w:r>
                </w:p>
              </w:tc>
              <w:tc>
                <w:tcPr>
                  <w:tcW w:w="584" w:type="pct"/>
                  <w:tcBorders>
                    <w:tl2br w:val="nil"/>
                    <w:tr2bl w:val="nil"/>
                  </w:tcBorders>
                  <w:vAlign w:val="center"/>
                </w:tcPr>
                <w:p w14:paraId="4659B96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7.0</w:t>
                  </w:r>
                </w:p>
              </w:tc>
              <w:tc>
                <w:tcPr>
                  <w:tcW w:w="526" w:type="pct"/>
                  <w:tcBorders>
                    <w:tl2br w:val="nil"/>
                    <w:tr2bl w:val="nil"/>
                  </w:tcBorders>
                  <w:vAlign w:val="center"/>
                </w:tcPr>
                <w:p w14:paraId="1B43E3F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51</w:t>
                  </w:r>
                </w:p>
              </w:tc>
              <w:tc>
                <w:tcPr>
                  <w:tcW w:w="656" w:type="pct"/>
                  <w:tcBorders>
                    <w:tl2br w:val="nil"/>
                    <w:tr2bl w:val="nil"/>
                  </w:tcBorders>
                  <w:vAlign w:val="center"/>
                </w:tcPr>
                <w:p w14:paraId="0CC7B57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26.5</w:t>
                  </w:r>
                </w:p>
              </w:tc>
              <w:tc>
                <w:tcPr>
                  <w:tcW w:w="658" w:type="pct"/>
                  <w:tcBorders>
                    <w:tl2br w:val="nil"/>
                    <w:tr2bl w:val="nil"/>
                  </w:tcBorders>
                  <w:vAlign w:val="center"/>
                </w:tcPr>
                <w:p w14:paraId="2AD5003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13.8</w:t>
                  </w:r>
                </w:p>
              </w:tc>
              <w:tc>
                <w:tcPr>
                  <w:tcW w:w="658" w:type="pct"/>
                  <w:tcBorders>
                    <w:tl2br w:val="nil"/>
                    <w:tr2bl w:val="nil"/>
                  </w:tcBorders>
                  <w:vAlign w:val="center"/>
                </w:tcPr>
                <w:p w14:paraId="1004AED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22</w:t>
                  </w:r>
                </w:p>
              </w:tc>
            </w:tr>
            <w:tr w14:paraId="69B3AC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1198" w:type="pct"/>
                  <w:vMerge w:val="continue"/>
                  <w:tcBorders>
                    <w:tl2br w:val="nil"/>
                    <w:tr2bl w:val="nil"/>
                  </w:tcBorders>
                  <w:vAlign w:val="center"/>
                </w:tcPr>
                <w:p w14:paraId="43C16687">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17" w:type="pct"/>
                  <w:tcBorders>
                    <w:tl2br w:val="nil"/>
                    <w:tr2bl w:val="nil"/>
                  </w:tcBorders>
                  <w:shd w:val="clear" w:color="auto" w:fill="auto"/>
                  <w:vAlign w:val="center"/>
                </w:tcPr>
                <w:p w14:paraId="46F8A77B">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第4次</w:t>
                  </w:r>
                </w:p>
              </w:tc>
              <w:tc>
                <w:tcPr>
                  <w:tcW w:w="584" w:type="pct"/>
                  <w:tcBorders>
                    <w:tl2br w:val="nil"/>
                    <w:tr2bl w:val="nil"/>
                  </w:tcBorders>
                  <w:vAlign w:val="center"/>
                </w:tcPr>
                <w:p w14:paraId="3D06D87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6.9</w:t>
                  </w:r>
                </w:p>
              </w:tc>
              <w:tc>
                <w:tcPr>
                  <w:tcW w:w="526" w:type="pct"/>
                  <w:tcBorders>
                    <w:tl2br w:val="nil"/>
                    <w:tr2bl w:val="nil"/>
                  </w:tcBorders>
                  <w:vAlign w:val="center"/>
                </w:tcPr>
                <w:p w14:paraId="368BEDA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63</w:t>
                  </w:r>
                </w:p>
              </w:tc>
              <w:tc>
                <w:tcPr>
                  <w:tcW w:w="656" w:type="pct"/>
                  <w:tcBorders>
                    <w:tl2br w:val="nil"/>
                    <w:tr2bl w:val="nil"/>
                  </w:tcBorders>
                  <w:vAlign w:val="center"/>
                </w:tcPr>
                <w:p w14:paraId="0D5CF18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25.2</w:t>
                  </w:r>
                </w:p>
              </w:tc>
              <w:tc>
                <w:tcPr>
                  <w:tcW w:w="658" w:type="pct"/>
                  <w:tcBorders>
                    <w:tl2br w:val="nil"/>
                    <w:tr2bl w:val="nil"/>
                  </w:tcBorders>
                  <w:vAlign w:val="center"/>
                </w:tcPr>
                <w:p w14:paraId="6AAE9DB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14.7</w:t>
                  </w:r>
                </w:p>
              </w:tc>
              <w:tc>
                <w:tcPr>
                  <w:tcW w:w="658" w:type="pct"/>
                  <w:tcBorders>
                    <w:tl2br w:val="nil"/>
                    <w:tr2bl w:val="nil"/>
                  </w:tcBorders>
                  <w:vAlign w:val="center"/>
                </w:tcPr>
                <w:p w14:paraId="4B96922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24</w:t>
                  </w:r>
                </w:p>
              </w:tc>
            </w:tr>
            <w:tr w14:paraId="0F5DDA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1198" w:type="pct"/>
                  <w:vMerge w:val="continue"/>
                  <w:tcBorders>
                    <w:tl2br w:val="nil"/>
                    <w:tr2bl w:val="nil"/>
                  </w:tcBorders>
                  <w:vAlign w:val="center"/>
                </w:tcPr>
                <w:p w14:paraId="7E39BDE6">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p>
              </w:tc>
              <w:tc>
                <w:tcPr>
                  <w:tcW w:w="717" w:type="pct"/>
                  <w:tcBorders>
                    <w:tl2br w:val="nil"/>
                    <w:tr2bl w:val="nil"/>
                  </w:tcBorders>
                  <w:shd w:val="clear" w:color="auto" w:fill="auto"/>
                  <w:vAlign w:val="center"/>
                </w:tcPr>
                <w:p w14:paraId="74D95A8F">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平均值</w:t>
                  </w:r>
                </w:p>
              </w:tc>
              <w:tc>
                <w:tcPr>
                  <w:tcW w:w="584" w:type="pct"/>
                  <w:tcBorders>
                    <w:tl2br w:val="nil"/>
                    <w:tr2bl w:val="nil"/>
                  </w:tcBorders>
                  <w:vAlign w:val="center"/>
                </w:tcPr>
                <w:p w14:paraId="4782A27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6.9</w:t>
                  </w:r>
                </w:p>
              </w:tc>
              <w:tc>
                <w:tcPr>
                  <w:tcW w:w="526" w:type="pct"/>
                  <w:tcBorders>
                    <w:tl2br w:val="nil"/>
                    <w:tr2bl w:val="nil"/>
                  </w:tcBorders>
                  <w:vAlign w:val="center"/>
                </w:tcPr>
                <w:p w14:paraId="7E85A05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62</w:t>
                  </w:r>
                </w:p>
              </w:tc>
              <w:tc>
                <w:tcPr>
                  <w:tcW w:w="656" w:type="pct"/>
                  <w:tcBorders>
                    <w:tl2br w:val="nil"/>
                    <w:tr2bl w:val="nil"/>
                  </w:tcBorders>
                  <w:vAlign w:val="center"/>
                </w:tcPr>
                <w:p w14:paraId="13941D3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26.6</w:t>
                  </w:r>
                </w:p>
              </w:tc>
              <w:tc>
                <w:tcPr>
                  <w:tcW w:w="658" w:type="pct"/>
                  <w:tcBorders>
                    <w:tl2br w:val="nil"/>
                    <w:tr2bl w:val="nil"/>
                  </w:tcBorders>
                  <w:vAlign w:val="center"/>
                </w:tcPr>
                <w:p w14:paraId="3EC7F31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15.2</w:t>
                  </w:r>
                </w:p>
              </w:tc>
              <w:tc>
                <w:tcPr>
                  <w:tcW w:w="658" w:type="pct"/>
                  <w:tcBorders>
                    <w:tl2br w:val="nil"/>
                    <w:tr2bl w:val="nil"/>
                  </w:tcBorders>
                  <w:vAlign w:val="center"/>
                </w:tcPr>
                <w:p w14:paraId="09C4503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24</w:t>
                  </w:r>
                </w:p>
              </w:tc>
            </w:tr>
            <w:tr w14:paraId="214B6A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1198" w:type="pct"/>
                  <w:vMerge w:val="restart"/>
                  <w:tcBorders>
                    <w:tl2br w:val="nil"/>
                    <w:tr2bl w:val="nil"/>
                  </w:tcBorders>
                  <w:shd w:val="clear" w:color="auto" w:fill="auto"/>
                  <w:vAlign w:val="center"/>
                </w:tcPr>
                <w:p w14:paraId="528B3AFD">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废水总排口</w:t>
                  </w:r>
                </w:p>
                <w:p w14:paraId="3B7BBC05">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1.11</w:t>
                  </w:r>
                </w:p>
                <w:p w14:paraId="66E3B986">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rPr>
                  </w:pPr>
                </w:p>
              </w:tc>
              <w:tc>
                <w:tcPr>
                  <w:tcW w:w="717" w:type="pct"/>
                  <w:tcBorders>
                    <w:tl2br w:val="nil"/>
                    <w:tr2bl w:val="nil"/>
                  </w:tcBorders>
                  <w:shd w:val="clear" w:color="auto" w:fill="auto"/>
                  <w:vAlign w:val="center"/>
                </w:tcPr>
                <w:p w14:paraId="55625A0B">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第1次</w:t>
                  </w:r>
                </w:p>
              </w:tc>
              <w:tc>
                <w:tcPr>
                  <w:tcW w:w="584" w:type="pct"/>
                  <w:tcBorders>
                    <w:tl2br w:val="nil"/>
                    <w:tr2bl w:val="nil"/>
                  </w:tcBorders>
                  <w:vAlign w:val="center"/>
                </w:tcPr>
                <w:p w14:paraId="3AF4BA1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7.8</w:t>
                  </w:r>
                </w:p>
              </w:tc>
              <w:tc>
                <w:tcPr>
                  <w:tcW w:w="526" w:type="pct"/>
                  <w:tcBorders>
                    <w:tl2br w:val="nil"/>
                    <w:tr2bl w:val="nil"/>
                  </w:tcBorders>
                  <w:vAlign w:val="center"/>
                </w:tcPr>
                <w:p w14:paraId="1770083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79</w:t>
                  </w:r>
                </w:p>
              </w:tc>
              <w:tc>
                <w:tcPr>
                  <w:tcW w:w="656" w:type="pct"/>
                  <w:tcBorders>
                    <w:tl2br w:val="nil"/>
                    <w:tr2bl w:val="nil"/>
                  </w:tcBorders>
                  <w:vAlign w:val="center"/>
                </w:tcPr>
                <w:p w14:paraId="7F45CC0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31.4</w:t>
                  </w:r>
                </w:p>
              </w:tc>
              <w:tc>
                <w:tcPr>
                  <w:tcW w:w="658" w:type="pct"/>
                  <w:tcBorders>
                    <w:tl2br w:val="nil"/>
                    <w:tr2bl w:val="nil"/>
                  </w:tcBorders>
                  <w:vAlign w:val="center"/>
                </w:tcPr>
                <w:p w14:paraId="373D418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18.2</w:t>
                  </w:r>
                </w:p>
              </w:tc>
              <w:tc>
                <w:tcPr>
                  <w:tcW w:w="658" w:type="pct"/>
                  <w:tcBorders>
                    <w:tl2br w:val="nil"/>
                    <w:tr2bl w:val="nil"/>
                  </w:tcBorders>
                  <w:vAlign w:val="center"/>
                </w:tcPr>
                <w:p w14:paraId="20239F4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w:t>
                  </w:r>
                </w:p>
              </w:tc>
            </w:tr>
            <w:tr w14:paraId="122A59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1198" w:type="pct"/>
                  <w:vMerge w:val="continue"/>
                  <w:tcBorders>
                    <w:tl2br w:val="nil"/>
                    <w:tr2bl w:val="nil"/>
                  </w:tcBorders>
                  <w:vAlign w:val="center"/>
                </w:tcPr>
                <w:p w14:paraId="60023B6A">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rPr>
                  </w:pPr>
                </w:p>
              </w:tc>
              <w:tc>
                <w:tcPr>
                  <w:tcW w:w="717" w:type="pct"/>
                  <w:tcBorders>
                    <w:tl2br w:val="nil"/>
                    <w:tr2bl w:val="nil"/>
                  </w:tcBorders>
                  <w:shd w:val="clear" w:color="auto" w:fill="auto"/>
                  <w:vAlign w:val="center"/>
                </w:tcPr>
                <w:p w14:paraId="1E764023">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第2次</w:t>
                  </w:r>
                </w:p>
              </w:tc>
              <w:tc>
                <w:tcPr>
                  <w:tcW w:w="584" w:type="pct"/>
                  <w:tcBorders>
                    <w:tl2br w:val="nil"/>
                    <w:tr2bl w:val="nil"/>
                  </w:tcBorders>
                  <w:vAlign w:val="center"/>
                </w:tcPr>
                <w:p w14:paraId="493FA56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6.8</w:t>
                  </w:r>
                </w:p>
              </w:tc>
              <w:tc>
                <w:tcPr>
                  <w:tcW w:w="526" w:type="pct"/>
                  <w:tcBorders>
                    <w:tl2br w:val="nil"/>
                    <w:tr2bl w:val="nil"/>
                  </w:tcBorders>
                  <w:vAlign w:val="center"/>
                </w:tcPr>
                <w:p w14:paraId="364FE11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c>
                <w:tcPr>
                  <w:tcW w:w="656" w:type="pct"/>
                  <w:tcBorders>
                    <w:tl2br w:val="nil"/>
                    <w:tr2bl w:val="nil"/>
                  </w:tcBorders>
                  <w:vAlign w:val="center"/>
                </w:tcPr>
                <w:p w14:paraId="7B1CB6D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32.3</w:t>
                  </w:r>
                </w:p>
              </w:tc>
              <w:tc>
                <w:tcPr>
                  <w:tcW w:w="658" w:type="pct"/>
                  <w:tcBorders>
                    <w:tl2br w:val="nil"/>
                    <w:tr2bl w:val="nil"/>
                  </w:tcBorders>
                  <w:vAlign w:val="center"/>
                </w:tcPr>
                <w:p w14:paraId="4A0A483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16.4</w:t>
                  </w:r>
                </w:p>
              </w:tc>
              <w:tc>
                <w:tcPr>
                  <w:tcW w:w="658" w:type="pct"/>
                  <w:tcBorders>
                    <w:tl2br w:val="nil"/>
                    <w:tr2bl w:val="nil"/>
                  </w:tcBorders>
                  <w:vAlign w:val="center"/>
                </w:tcPr>
                <w:p w14:paraId="01B8F0F2">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27</w:t>
                  </w:r>
                </w:p>
              </w:tc>
            </w:tr>
            <w:tr w14:paraId="4E63FB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1198" w:type="pct"/>
                  <w:vMerge w:val="continue"/>
                  <w:tcBorders>
                    <w:tl2br w:val="nil"/>
                    <w:tr2bl w:val="nil"/>
                  </w:tcBorders>
                  <w:vAlign w:val="center"/>
                </w:tcPr>
                <w:p w14:paraId="58AA1393">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rPr>
                  </w:pPr>
                </w:p>
              </w:tc>
              <w:tc>
                <w:tcPr>
                  <w:tcW w:w="717" w:type="pct"/>
                  <w:tcBorders>
                    <w:tl2br w:val="nil"/>
                    <w:tr2bl w:val="nil"/>
                  </w:tcBorders>
                  <w:shd w:val="clear" w:color="auto" w:fill="auto"/>
                  <w:vAlign w:val="center"/>
                </w:tcPr>
                <w:p w14:paraId="5AAB2387">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第3次</w:t>
                  </w:r>
                </w:p>
              </w:tc>
              <w:tc>
                <w:tcPr>
                  <w:tcW w:w="584" w:type="pct"/>
                  <w:tcBorders>
                    <w:tl2br w:val="nil"/>
                    <w:tr2bl w:val="nil"/>
                  </w:tcBorders>
                  <w:vAlign w:val="center"/>
                </w:tcPr>
                <w:p w14:paraId="7671947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7.0</w:t>
                  </w:r>
                </w:p>
              </w:tc>
              <w:tc>
                <w:tcPr>
                  <w:tcW w:w="526" w:type="pct"/>
                  <w:tcBorders>
                    <w:tl2br w:val="nil"/>
                    <w:tr2bl w:val="nil"/>
                  </w:tcBorders>
                  <w:vAlign w:val="center"/>
                </w:tcPr>
                <w:p w14:paraId="72AEAC4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69</w:t>
                  </w:r>
                </w:p>
              </w:tc>
              <w:tc>
                <w:tcPr>
                  <w:tcW w:w="656" w:type="pct"/>
                  <w:tcBorders>
                    <w:tl2br w:val="nil"/>
                    <w:tr2bl w:val="nil"/>
                  </w:tcBorders>
                  <w:vAlign w:val="center"/>
                </w:tcPr>
                <w:p w14:paraId="51822C1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33.8</w:t>
                  </w:r>
                </w:p>
              </w:tc>
              <w:tc>
                <w:tcPr>
                  <w:tcW w:w="658" w:type="pct"/>
                  <w:tcBorders>
                    <w:tl2br w:val="nil"/>
                    <w:tr2bl w:val="nil"/>
                  </w:tcBorders>
                  <w:vAlign w:val="center"/>
                </w:tcPr>
                <w:p w14:paraId="24EF86EF">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15.5</w:t>
                  </w:r>
                </w:p>
              </w:tc>
              <w:tc>
                <w:tcPr>
                  <w:tcW w:w="658" w:type="pct"/>
                  <w:tcBorders>
                    <w:tl2br w:val="nil"/>
                    <w:tr2bl w:val="nil"/>
                  </w:tcBorders>
                  <w:vAlign w:val="center"/>
                </w:tcPr>
                <w:p w14:paraId="1689D22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27</w:t>
                  </w:r>
                </w:p>
              </w:tc>
            </w:tr>
            <w:tr w14:paraId="51889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1198" w:type="pct"/>
                  <w:vMerge w:val="continue"/>
                  <w:tcBorders>
                    <w:tl2br w:val="nil"/>
                    <w:tr2bl w:val="nil"/>
                  </w:tcBorders>
                  <w:vAlign w:val="center"/>
                </w:tcPr>
                <w:p w14:paraId="0757C135">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rPr>
                  </w:pPr>
                </w:p>
              </w:tc>
              <w:tc>
                <w:tcPr>
                  <w:tcW w:w="717" w:type="pct"/>
                  <w:tcBorders>
                    <w:tl2br w:val="nil"/>
                    <w:tr2bl w:val="nil"/>
                  </w:tcBorders>
                  <w:shd w:val="clear" w:color="auto" w:fill="auto"/>
                  <w:vAlign w:val="center"/>
                </w:tcPr>
                <w:p w14:paraId="61271E92">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第4次</w:t>
                  </w:r>
                </w:p>
              </w:tc>
              <w:tc>
                <w:tcPr>
                  <w:tcW w:w="584" w:type="pct"/>
                  <w:tcBorders>
                    <w:tl2br w:val="nil"/>
                    <w:tr2bl w:val="nil"/>
                  </w:tcBorders>
                  <w:vAlign w:val="center"/>
                </w:tcPr>
                <w:p w14:paraId="38BFF13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7.1</w:t>
                  </w:r>
                </w:p>
              </w:tc>
              <w:tc>
                <w:tcPr>
                  <w:tcW w:w="526" w:type="pct"/>
                  <w:tcBorders>
                    <w:tl2br w:val="nil"/>
                    <w:tr2bl w:val="nil"/>
                  </w:tcBorders>
                  <w:vAlign w:val="center"/>
                </w:tcPr>
                <w:p w14:paraId="127503E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58</w:t>
                  </w:r>
                </w:p>
              </w:tc>
              <w:tc>
                <w:tcPr>
                  <w:tcW w:w="656" w:type="pct"/>
                  <w:tcBorders>
                    <w:tl2br w:val="nil"/>
                    <w:tr2bl w:val="nil"/>
                  </w:tcBorders>
                  <w:vAlign w:val="center"/>
                </w:tcPr>
                <w:p w14:paraId="1EE56A4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26.1</w:t>
                  </w:r>
                </w:p>
              </w:tc>
              <w:tc>
                <w:tcPr>
                  <w:tcW w:w="658" w:type="pct"/>
                  <w:tcBorders>
                    <w:tl2br w:val="nil"/>
                    <w:tr2bl w:val="nil"/>
                  </w:tcBorders>
                  <w:vAlign w:val="center"/>
                </w:tcPr>
                <w:p w14:paraId="719D5EC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16.4</w:t>
                  </w:r>
                </w:p>
              </w:tc>
              <w:tc>
                <w:tcPr>
                  <w:tcW w:w="658" w:type="pct"/>
                  <w:tcBorders>
                    <w:tl2br w:val="nil"/>
                    <w:tr2bl w:val="nil"/>
                  </w:tcBorders>
                  <w:vAlign w:val="center"/>
                </w:tcPr>
                <w:p w14:paraId="5BB6DEE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29</w:t>
                  </w:r>
                </w:p>
              </w:tc>
            </w:tr>
            <w:tr w14:paraId="794D66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74" w:hRule="atLeast"/>
              </w:trPr>
              <w:tc>
                <w:tcPr>
                  <w:tcW w:w="1198" w:type="pct"/>
                  <w:vMerge w:val="continue"/>
                  <w:tcBorders>
                    <w:tl2br w:val="nil"/>
                    <w:tr2bl w:val="nil"/>
                  </w:tcBorders>
                  <w:vAlign w:val="center"/>
                </w:tcPr>
                <w:p w14:paraId="6F6D4D4A">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rPr>
                  </w:pPr>
                </w:p>
              </w:tc>
              <w:tc>
                <w:tcPr>
                  <w:tcW w:w="717" w:type="pct"/>
                  <w:tcBorders>
                    <w:tl2br w:val="nil"/>
                    <w:tr2bl w:val="nil"/>
                  </w:tcBorders>
                  <w:shd w:val="clear" w:color="auto" w:fill="auto"/>
                  <w:vAlign w:val="center"/>
                </w:tcPr>
                <w:p w14:paraId="68C52D11">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平均值</w:t>
                  </w:r>
                </w:p>
              </w:tc>
              <w:tc>
                <w:tcPr>
                  <w:tcW w:w="584" w:type="pct"/>
                  <w:tcBorders>
                    <w:tl2br w:val="nil"/>
                    <w:tr2bl w:val="nil"/>
                  </w:tcBorders>
                  <w:vAlign w:val="center"/>
                </w:tcPr>
                <w:p w14:paraId="3373AEAA">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7.2</w:t>
                  </w:r>
                </w:p>
              </w:tc>
              <w:tc>
                <w:tcPr>
                  <w:tcW w:w="526" w:type="pct"/>
                  <w:tcBorders>
                    <w:tl2br w:val="nil"/>
                    <w:tr2bl w:val="nil"/>
                  </w:tcBorders>
                  <w:vAlign w:val="center"/>
                </w:tcPr>
                <w:p w14:paraId="4C0DA56B">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67</w:t>
                  </w:r>
                </w:p>
              </w:tc>
              <w:tc>
                <w:tcPr>
                  <w:tcW w:w="656" w:type="pct"/>
                  <w:tcBorders>
                    <w:tl2br w:val="nil"/>
                    <w:tr2bl w:val="nil"/>
                  </w:tcBorders>
                  <w:vAlign w:val="center"/>
                </w:tcPr>
                <w:p w14:paraId="121FD2A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30.9</w:t>
                  </w:r>
                </w:p>
              </w:tc>
              <w:tc>
                <w:tcPr>
                  <w:tcW w:w="658" w:type="pct"/>
                  <w:tcBorders>
                    <w:tl2br w:val="nil"/>
                    <w:tr2bl w:val="nil"/>
                  </w:tcBorders>
                  <w:vAlign w:val="center"/>
                </w:tcPr>
                <w:p w14:paraId="6832957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16.6</w:t>
                  </w:r>
                </w:p>
              </w:tc>
              <w:tc>
                <w:tcPr>
                  <w:tcW w:w="658" w:type="pct"/>
                  <w:tcBorders>
                    <w:tl2br w:val="nil"/>
                    <w:tr2bl w:val="nil"/>
                  </w:tcBorders>
                  <w:vAlign w:val="center"/>
                </w:tcPr>
                <w:p w14:paraId="7B52B9F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28</w:t>
                  </w:r>
                </w:p>
              </w:tc>
            </w:tr>
            <w:tr w14:paraId="4341CC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0" w:hRule="atLeast"/>
              </w:trPr>
              <w:tc>
                <w:tcPr>
                  <w:tcW w:w="1916" w:type="pct"/>
                  <w:gridSpan w:val="2"/>
                  <w:tcBorders>
                    <w:tl2br w:val="nil"/>
                    <w:tr2bl w:val="nil"/>
                  </w:tcBorders>
                  <w:vAlign w:val="center"/>
                </w:tcPr>
                <w:p w14:paraId="502FFC72">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000000" w:themeColor="text1"/>
                      <w:sz w:val="21"/>
                      <w:szCs w:val="21"/>
                      <w14:textFill>
                        <w14:solidFill>
                          <w14:schemeClr w14:val="tx1"/>
                        </w14:solidFill>
                      </w14:textFill>
                    </w:rPr>
                    <w:t>歙县循环经济园区污水处理厂（鼎元污水处理有限公司）接管标准</w:t>
                  </w:r>
                </w:p>
              </w:tc>
              <w:tc>
                <w:tcPr>
                  <w:tcW w:w="584" w:type="pct"/>
                  <w:tcBorders>
                    <w:tl2br w:val="nil"/>
                    <w:tr2bl w:val="nil"/>
                  </w:tcBorders>
                  <w:vAlign w:val="center"/>
                </w:tcPr>
                <w:p w14:paraId="0F1CFAF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6-9</w:t>
                  </w:r>
                </w:p>
              </w:tc>
              <w:tc>
                <w:tcPr>
                  <w:tcW w:w="526" w:type="pct"/>
                  <w:tcBorders>
                    <w:tl2br w:val="nil"/>
                    <w:tr2bl w:val="nil"/>
                  </w:tcBorders>
                  <w:vAlign w:val="center"/>
                </w:tcPr>
                <w:p w14:paraId="4691AA7D">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30</w:t>
                  </w:r>
                  <w:r>
                    <w:rPr>
                      <w:rFonts w:hint="default" w:ascii="Times New Roman" w:hAnsi="Times New Roman" w:eastAsia="宋体" w:cs="Times New Roman"/>
                      <w:color w:val="auto"/>
                      <w:sz w:val="21"/>
                      <w:szCs w:val="21"/>
                      <w:lang w:val="en-US" w:eastAsia="zh-CN"/>
                    </w:rPr>
                    <w:t>00</w:t>
                  </w:r>
                </w:p>
              </w:tc>
              <w:tc>
                <w:tcPr>
                  <w:tcW w:w="656" w:type="pct"/>
                  <w:tcBorders>
                    <w:tl2br w:val="nil"/>
                    <w:tr2bl w:val="nil"/>
                  </w:tcBorders>
                  <w:vAlign w:val="center"/>
                </w:tcPr>
                <w:p w14:paraId="6114C9A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w:t>
                  </w:r>
                </w:p>
              </w:tc>
              <w:tc>
                <w:tcPr>
                  <w:tcW w:w="658" w:type="pct"/>
                  <w:tcBorders>
                    <w:tl2br w:val="nil"/>
                    <w:tr2bl w:val="nil"/>
                  </w:tcBorders>
                  <w:vAlign w:val="center"/>
                </w:tcPr>
                <w:p w14:paraId="7A705707">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9</w:t>
                  </w:r>
                  <w:r>
                    <w:rPr>
                      <w:rFonts w:hint="default" w:ascii="Times New Roman" w:hAnsi="Times New Roman" w:eastAsia="宋体" w:cs="Times New Roman"/>
                      <w:color w:val="auto"/>
                      <w:sz w:val="21"/>
                      <w:szCs w:val="21"/>
                      <w:lang w:val="en-US" w:eastAsia="zh-CN"/>
                    </w:rPr>
                    <w:t>00</w:t>
                  </w:r>
                </w:p>
              </w:tc>
              <w:tc>
                <w:tcPr>
                  <w:tcW w:w="658" w:type="pct"/>
                  <w:tcBorders>
                    <w:tl2br w:val="nil"/>
                    <w:tr2bl w:val="nil"/>
                  </w:tcBorders>
                  <w:vAlign w:val="center"/>
                </w:tcPr>
                <w:p w14:paraId="0538DAEE">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00</w:t>
                  </w:r>
                </w:p>
              </w:tc>
            </w:tr>
            <w:tr w14:paraId="51FADC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4" w:hRule="atLeast"/>
              </w:trPr>
              <w:tc>
                <w:tcPr>
                  <w:tcW w:w="1916" w:type="pct"/>
                  <w:gridSpan w:val="2"/>
                  <w:tcBorders>
                    <w:tl2br w:val="nil"/>
                    <w:tr2bl w:val="nil"/>
                  </w:tcBorders>
                  <w:vAlign w:val="center"/>
                </w:tcPr>
                <w:p w14:paraId="40C672CA">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达标情况</w:t>
                  </w:r>
                </w:p>
              </w:tc>
              <w:tc>
                <w:tcPr>
                  <w:tcW w:w="584" w:type="pct"/>
                  <w:tcBorders>
                    <w:tl2br w:val="nil"/>
                    <w:tr2bl w:val="nil"/>
                  </w:tcBorders>
                  <w:vAlign w:val="center"/>
                </w:tcPr>
                <w:p w14:paraId="0771C8F6">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c>
                <w:tcPr>
                  <w:tcW w:w="526" w:type="pct"/>
                  <w:tcBorders>
                    <w:tl2br w:val="nil"/>
                    <w:tr2bl w:val="nil"/>
                  </w:tcBorders>
                  <w:vAlign w:val="center"/>
                </w:tcPr>
                <w:p w14:paraId="7E293DCC">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达标</w:t>
                  </w:r>
                </w:p>
              </w:tc>
              <w:tc>
                <w:tcPr>
                  <w:tcW w:w="656" w:type="pct"/>
                  <w:tcBorders>
                    <w:tl2br w:val="nil"/>
                    <w:tr2bl w:val="nil"/>
                  </w:tcBorders>
                  <w:vAlign w:val="center"/>
                </w:tcPr>
                <w:p w14:paraId="4A6DB4CF">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达标</w:t>
                  </w:r>
                </w:p>
              </w:tc>
              <w:tc>
                <w:tcPr>
                  <w:tcW w:w="658" w:type="pct"/>
                  <w:tcBorders>
                    <w:tl2br w:val="nil"/>
                    <w:tr2bl w:val="nil"/>
                  </w:tcBorders>
                  <w:vAlign w:val="center"/>
                </w:tcPr>
                <w:p w14:paraId="07952777">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c>
                <w:tcPr>
                  <w:tcW w:w="658" w:type="pct"/>
                  <w:tcBorders>
                    <w:tl2br w:val="nil"/>
                    <w:tr2bl w:val="nil"/>
                  </w:tcBorders>
                  <w:vAlign w:val="center"/>
                </w:tcPr>
                <w:p w14:paraId="2954B698">
                  <w:pPr>
                    <w:keepNext w:val="0"/>
                    <w:keepLines w:val="0"/>
                    <w:pageBreakBefore w:val="0"/>
                    <w:widowControl w:val="0"/>
                    <w:suppressLineNumbers w:val="0"/>
                    <w:kinsoku/>
                    <w:wordWrap/>
                    <w:overflowPunct/>
                    <w:topLinePunct w:val="0"/>
                    <w:autoSpaceDE/>
                    <w:autoSpaceDN/>
                    <w:bidi w:val="0"/>
                    <w:adjustRightInd w:val="0"/>
                    <w:snapToGrid w:val="0"/>
                    <w:spacing w:beforeAutospacing="0" w:after="0" w:afterLines="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达标</w:t>
                  </w:r>
                </w:p>
              </w:tc>
            </w:tr>
          </w:tbl>
          <w:p w14:paraId="469E5B8C">
            <w:pPr>
              <w:pageBreakBefore w:val="0"/>
              <w:kinsoku/>
              <w:wordWrap/>
              <w:overflowPunct/>
              <w:topLinePunct w:val="0"/>
              <w:bidi w:val="0"/>
              <w:spacing w:after="0" w:line="360" w:lineRule="auto"/>
              <w:ind w:firstLine="480" w:firstLineChars="200"/>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auto"/>
                <w:sz w:val="24"/>
                <w:szCs w:val="24"/>
                <w:lang w:val="en-US" w:eastAsia="zh-CN"/>
              </w:rPr>
              <w:t>由检测结果可知，验收监测期间，项目</w:t>
            </w:r>
            <w:r>
              <w:rPr>
                <w:rFonts w:hint="eastAsia" w:ascii="Times New Roman" w:hAnsi="Times New Roman" w:eastAsia="宋体" w:cs="Times New Roman"/>
                <w:color w:val="auto"/>
                <w:sz w:val="24"/>
                <w:szCs w:val="24"/>
                <w:lang w:val="en-US" w:eastAsia="zh-CN"/>
              </w:rPr>
              <w:t>厂区废水总排口pH值6.8~7.8、COD最高浓度79 mg/L、BOD</w:t>
            </w:r>
            <w:r>
              <w:rPr>
                <w:rFonts w:hint="eastAsia" w:ascii="Times New Roman" w:hAnsi="Times New Roman" w:eastAsia="宋体" w:cs="Times New Roman"/>
                <w:color w:val="auto"/>
                <w:sz w:val="24"/>
                <w:szCs w:val="24"/>
                <w:vertAlign w:val="subscript"/>
                <w:lang w:val="en-US" w:eastAsia="zh-CN"/>
              </w:rPr>
              <w:t>5</w:t>
            </w:r>
            <w:r>
              <w:rPr>
                <w:rFonts w:hint="eastAsia" w:ascii="Times New Roman" w:hAnsi="Times New Roman" w:eastAsia="宋体" w:cs="Times New Roman"/>
                <w:color w:val="auto"/>
                <w:sz w:val="24"/>
                <w:szCs w:val="24"/>
                <w:lang w:val="en-US" w:eastAsia="zh-CN"/>
              </w:rPr>
              <w:t>最高浓度</w:t>
            </w:r>
            <w:r>
              <w:rPr>
                <w:rFonts w:hint="eastAsia" w:ascii="Times New Roman" w:hAnsi="Times New Roman" w:eastAsia="宋体" w:cs="Times New Roman"/>
                <w:color w:val="auto"/>
                <w:sz w:val="24"/>
                <w:szCs w:val="24"/>
                <w:vertAlign w:val="baseline"/>
                <w:lang w:val="en-US" w:eastAsia="zh-CN"/>
              </w:rPr>
              <w:t xml:space="preserve">19 </w:t>
            </w:r>
            <w:r>
              <w:rPr>
                <w:rFonts w:hint="eastAsia" w:ascii="Times New Roman" w:hAnsi="Times New Roman" w:eastAsia="宋体" w:cs="Times New Roman"/>
                <w:color w:val="auto"/>
                <w:sz w:val="24"/>
                <w:szCs w:val="24"/>
                <w:lang w:val="en-US" w:eastAsia="zh-CN"/>
              </w:rPr>
              <w:t>mg/L、SS最高浓度</w:t>
            </w:r>
            <w:r>
              <w:rPr>
                <w:rFonts w:hint="eastAsia" w:ascii="Times New Roman" w:hAnsi="Times New Roman" w:eastAsia="宋体" w:cs="Times New Roman"/>
                <w:color w:val="auto"/>
                <w:sz w:val="24"/>
                <w:szCs w:val="24"/>
                <w:vertAlign w:val="baseline"/>
                <w:lang w:val="en-US" w:eastAsia="zh-CN"/>
              </w:rPr>
              <w:t xml:space="preserve">30 </w:t>
            </w:r>
            <w:r>
              <w:rPr>
                <w:rFonts w:hint="eastAsia" w:ascii="Times New Roman" w:hAnsi="Times New Roman" w:eastAsia="宋体" w:cs="Times New Roman"/>
                <w:color w:val="auto"/>
                <w:sz w:val="24"/>
                <w:szCs w:val="24"/>
                <w:lang w:val="en-US" w:eastAsia="zh-CN"/>
              </w:rPr>
              <w:t>mg/L、氨氮最高浓度33.8 mg/L，</w:t>
            </w:r>
            <w:r>
              <w:rPr>
                <w:rFonts w:hint="default" w:ascii="Times New Roman" w:hAnsi="Times New Roman" w:eastAsia="宋体" w:cs="Times New Roman"/>
                <w:color w:val="auto"/>
                <w:sz w:val="24"/>
                <w:szCs w:val="24"/>
                <w:lang w:val="en-US" w:eastAsia="zh-CN"/>
              </w:rPr>
              <w:t>排放浓度满足歙县循环经济园区污水处理厂接管标准</w:t>
            </w:r>
            <w:r>
              <w:rPr>
                <w:rFonts w:hint="eastAsia" w:ascii="Times New Roman" w:hAnsi="Times New Roman" w:eastAsia="宋体" w:cs="Times New Roman"/>
                <w:color w:val="auto"/>
                <w:sz w:val="24"/>
                <w:szCs w:val="24"/>
                <w:lang w:val="en-US" w:eastAsia="zh-CN"/>
              </w:rPr>
              <w:t>。</w:t>
            </w:r>
          </w:p>
          <w:p w14:paraId="5D937E3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3、噪声监测结果</w:t>
            </w:r>
          </w:p>
          <w:p w14:paraId="0E3CC713">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验收</w:t>
            </w:r>
            <w:r>
              <w:rPr>
                <w:rFonts w:hint="eastAsia" w:ascii="Times New Roman" w:hAnsi="Times New Roman" w:eastAsia="宋体" w:cs="Times New Roman"/>
                <w:color w:val="auto"/>
                <w:sz w:val="24"/>
                <w:szCs w:val="24"/>
                <w:lang w:val="en-US" w:eastAsia="zh-CN"/>
              </w:rPr>
              <w:t>检测单位</w:t>
            </w:r>
            <w:r>
              <w:rPr>
                <w:rFonts w:hint="default" w:ascii="Times New Roman" w:hAnsi="Times New Roman" w:eastAsia="宋体" w:cs="Times New Roman"/>
                <w:color w:val="auto"/>
                <w:sz w:val="24"/>
                <w:szCs w:val="24"/>
                <w:lang w:val="en-US" w:eastAsia="zh-CN"/>
              </w:rPr>
              <w:t>于202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年</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月</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lang w:val="en-US" w:eastAsia="zh-CN"/>
              </w:rPr>
              <w:t>日对该项目</w:t>
            </w:r>
            <w:r>
              <w:rPr>
                <w:rFonts w:hint="eastAsia" w:ascii="Times New Roman" w:hAnsi="Times New Roman" w:eastAsia="宋体" w:cs="Times New Roman"/>
                <w:color w:val="auto"/>
                <w:sz w:val="24"/>
                <w:szCs w:val="24"/>
                <w:lang w:val="en-US" w:eastAsia="zh-CN"/>
              </w:rPr>
              <w:t>（现阶段）</w:t>
            </w:r>
            <w:r>
              <w:rPr>
                <w:rFonts w:hint="default" w:ascii="Times New Roman" w:hAnsi="Times New Roman" w:eastAsia="宋体" w:cs="Times New Roman"/>
                <w:color w:val="auto"/>
                <w:sz w:val="24"/>
                <w:szCs w:val="24"/>
                <w:lang w:val="en-US" w:eastAsia="zh-CN"/>
              </w:rPr>
              <w:t>厂界外1米进行</w:t>
            </w:r>
            <w:r>
              <w:rPr>
                <w:rFonts w:hint="eastAsia" w:ascii="Times New Roman" w:hAnsi="Times New Roman" w:eastAsia="宋体" w:cs="Times New Roman"/>
                <w:color w:val="auto"/>
                <w:sz w:val="24"/>
                <w:szCs w:val="24"/>
                <w:lang w:val="en-US" w:eastAsia="zh-CN"/>
              </w:rPr>
              <w:t>噪声</w:t>
            </w:r>
            <w:r>
              <w:rPr>
                <w:rFonts w:hint="default" w:ascii="Times New Roman" w:hAnsi="Times New Roman" w:eastAsia="宋体" w:cs="Times New Roman"/>
                <w:color w:val="auto"/>
                <w:sz w:val="24"/>
                <w:szCs w:val="24"/>
                <w:lang w:val="en-US" w:eastAsia="zh-CN"/>
              </w:rPr>
              <w:t>采样检测。检测结果见下表7-</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eastAsia="zh-CN"/>
              </w:rPr>
              <w:t>。</w:t>
            </w:r>
          </w:p>
          <w:p w14:paraId="13BBF0D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表7-</w:t>
            </w:r>
            <w:r>
              <w:rPr>
                <w:rFonts w:hint="eastAsia" w:ascii="Times New Roman" w:hAnsi="Times New Roman" w:eastAsia="宋体" w:cs="Times New Roman"/>
                <w:b/>
                <w:bCs/>
                <w:color w:val="auto"/>
                <w:sz w:val="21"/>
                <w:szCs w:val="21"/>
                <w:lang w:val="en-US" w:eastAsia="zh-CN"/>
              </w:rPr>
              <w:t xml:space="preserve">4 </w:t>
            </w:r>
            <w:r>
              <w:rPr>
                <w:rFonts w:hint="default" w:ascii="Times New Roman" w:hAnsi="Times New Roman" w:eastAsia="宋体" w:cs="Times New Roman"/>
                <w:b/>
                <w:bCs/>
                <w:color w:val="auto"/>
                <w:sz w:val="21"/>
                <w:szCs w:val="21"/>
                <w:lang w:val="en-US" w:eastAsia="zh-CN"/>
              </w:rPr>
              <w:t>噪声检测检测一览表</w:t>
            </w:r>
            <w:r>
              <w:rPr>
                <w:rFonts w:hint="eastAsia" w:ascii="Times New Roman" w:hAnsi="Times New Roman" w:eastAsia="宋体" w:cs="Times New Roman"/>
                <w:b/>
                <w:bCs/>
                <w:color w:val="auto"/>
                <w:sz w:val="21"/>
                <w:szCs w:val="21"/>
                <w:lang w:val="en-US" w:eastAsia="zh-CN"/>
              </w:rPr>
              <w:t>（</w:t>
            </w:r>
            <w:r>
              <w:rPr>
                <w:rFonts w:hint="default" w:ascii="Times New Roman" w:hAnsi="Times New Roman" w:eastAsia="宋体" w:cs="Times New Roman"/>
                <w:b/>
                <w:bCs/>
                <w:color w:val="auto"/>
                <w:sz w:val="21"/>
                <w:szCs w:val="21"/>
                <w:lang w:val="en-US" w:eastAsia="zh-CN"/>
              </w:rPr>
              <w:t>单位：dB</w:t>
            </w:r>
            <w:r>
              <w:rPr>
                <w:rFonts w:hint="eastAsia" w:ascii="Times New Roman" w:hAnsi="Times New Roman" w:eastAsia="宋体" w:cs="Times New Roman"/>
                <w:b/>
                <w:bCs/>
                <w:color w:val="auto"/>
                <w:sz w:val="21"/>
                <w:szCs w:val="21"/>
                <w:lang w:val="en-US" w:eastAsia="zh-CN"/>
              </w:rPr>
              <w:t>（A））</w:t>
            </w:r>
          </w:p>
          <w:tbl>
            <w:tblPr>
              <w:tblStyle w:val="2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223"/>
              <w:gridCol w:w="1254"/>
              <w:gridCol w:w="1339"/>
              <w:gridCol w:w="1414"/>
              <w:gridCol w:w="1073"/>
            </w:tblGrid>
            <w:tr w14:paraId="5CCDA4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41" w:type="pct"/>
                  <w:vMerge w:val="restart"/>
                  <w:tcBorders>
                    <w:tl2br w:val="nil"/>
                    <w:tr2bl w:val="nil"/>
                  </w:tcBorders>
                  <w:vAlign w:val="center"/>
                </w:tcPr>
                <w:p w14:paraId="205E92B9">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检测位置</w:t>
                  </w:r>
                </w:p>
              </w:tc>
              <w:tc>
                <w:tcPr>
                  <w:tcW w:w="755" w:type="pct"/>
                  <w:vMerge w:val="restart"/>
                  <w:tcBorders>
                    <w:tl2br w:val="nil"/>
                    <w:tr2bl w:val="nil"/>
                  </w:tcBorders>
                  <w:vAlign w:val="center"/>
                </w:tcPr>
                <w:p w14:paraId="70B6A7F8">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检测日期</w:t>
                  </w:r>
                </w:p>
              </w:tc>
              <w:tc>
                <w:tcPr>
                  <w:tcW w:w="806" w:type="pct"/>
                  <w:tcBorders>
                    <w:tl2br w:val="nil"/>
                    <w:tr2bl w:val="nil"/>
                  </w:tcBorders>
                  <w:vAlign w:val="center"/>
                </w:tcPr>
                <w:p w14:paraId="1DE261DC">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监测结果</w:t>
                  </w:r>
                </w:p>
              </w:tc>
              <w:tc>
                <w:tcPr>
                  <w:tcW w:w="851" w:type="pct"/>
                  <w:tcBorders>
                    <w:tl2br w:val="nil"/>
                    <w:tr2bl w:val="nil"/>
                  </w:tcBorders>
                  <w:vAlign w:val="center"/>
                </w:tcPr>
                <w:p w14:paraId="39FFCBB0">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排放标准</w:t>
                  </w:r>
                </w:p>
              </w:tc>
              <w:tc>
                <w:tcPr>
                  <w:tcW w:w="646" w:type="pct"/>
                  <w:vMerge w:val="restart"/>
                  <w:tcBorders>
                    <w:tl2br w:val="nil"/>
                    <w:tr2bl w:val="nil"/>
                  </w:tcBorders>
                  <w:vAlign w:val="center"/>
                </w:tcPr>
                <w:p w14:paraId="7028520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
                      <w:bCs/>
                      <w:color w:val="auto"/>
                      <w:sz w:val="21"/>
                      <w:szCs w:val="21"/>
                      <w:lang w:eastAsia="zh-CN"/>
                    </w:rPr>
                    <w:t>达标情况</w:t>
                  </w:r>
                </w:p>
              </w:tc>
            </w:tr>
            <w:tr w14:paraId="536E8D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941" w:type="pct"/>
                  <w:vMerge w:val="continue"/>
                  <w:tcBorders>
                    <w:tl2br w:val="nil"/>
                    <w:tr2bl w:val="nil"/>
                  </w:tcBorders>
                  <w:vAlign w:val="top"/>
                </w:tcPr>
                <w:p w14:paraId="4612B2B6">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p>
              </w:tc>
              <w:tc>
                <w:tcPr>
                  <w:tcW w:w="755" w:type="pct"/>
                  <w:vMerge w:val="continue"/>
                  <w:tcBorders>
                    <w:tl2br w:val="nil"/>
                    <w:tr2bl w:val="nil"/>
                  </w:tcBorders>
                  <w:vAlign w:val="top"/>
                </w:tcPr>
                <w:p w14:paraId="7CD99957">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p>
              </w:tc>
              <w:tc>
                <w:tcPr>
                  <w:tcW w:w="806" w:type="pct"/>
                  <w:tcBorders>
                    <w:tl2br w:val="nil"/>
                    <w:tr2bl w:val="nil"/>
                  </w:tcBorders>
                  <w:vAlign w:val="center"/>
                </w:tcPr>
                <w:p w14:paraId="3A1ED0C4">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昼间</w:t>
                  </w:r>
                </w:p>
              </w:tc>
              <w:tc>
                <w:tcPr>
                  <w:tcW w:w="851" w:type="pct"/>
                  <w:tcBorders>
                    <w:tl2br w:val="nil"/>
                    <w:tr2bl w:val="nil"/>
                  </w:tcBorders>
                  <w:vAlign w:val="center"/>
                </w:tcPr>
                <w:p w14:paraId="34D6714C">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lang w:val="en-US" w:eastAsia="zh-CN" w:bidi="ar-SA"/>
                    </w:rPr>
                  </w:pPr>
                  <w:r>
                    <w:rPr>
                      <w:rFonts w:hint="default" w:ascii="Times New Roman" w:hAnsi="Times New Roman" w:eastAsia="宋体" w:cs="Times New Roman"/>
                      <w:b/>
                      <w:bCs/>
                      <w:color w:val="auto"/>
                      <w:sz w:val="21"/>
                      <w:szCs w:val="21"/>
                      <w:lang w:val="en-US" w:eastAsia="zh-CN"/>
                    </w:rPr>
                    <w:t>昼间</w:t>
                  </w:r>
                </w:p>
              </w:tc>
              <w:tc>
                <w:tcPr>
                  <w:tcW w:w="646" w:type="pct"/>
                  <w:vMerge w:val="continue"/>
                  <w:tcBorders>
                    <w:tl2br w:val="nil"/>
                    <w:tr2bl w:val="nil"/>
                  </w:tcBorders>
                  <w:vAlign w:val="center"/>
                </w:tcPr>
                <w:p w14:paraId="052D564C">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rPr>
                  </w:pPr>
                </w:p>
              </w:tc>
            </w:tr>
            <w:tr w14:paraId="1BFD1A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3" w:type="dxa"/>
                  <w:tcBorders>
                    <w:tl2br w:val="nil"/>
                    <w:tr2bl w:val="nil"/>
                  </w:tcBorders>
                  <w:vAlign w:val="center"/>
                </w:tcPr>
                <w:p w14:paraId="28BB2396">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N1北侧厂界外1米</w:t>
                  </w:r>
                </w:p>
              </w:tc>
              <w:tc>
                <w:tcPr>
                  <w:tcW w:w="755" w:type="pct"/>
                  <w:vMerge w:val="restart"/>
                  <w:tcBorders>
                    <w:tl2br w:val="nil"/>
                    <w:tr2bl w:val="nil"/>
                  </w:tcBorders>
                  <w:vAlign w:val="center"/>
                </w:tcPr>
                <w:p w14:paraId="1DBDDF71">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1月10日</w:t>
                  </w:r>
                </w:p>
              </w:tc>
              <w:tc>
                <w:tcPr>
                  <w:tcW w:w="1339" w:type="dxa"/>
                  <w:tcBorders>
                    <w:tl2br w:val="nil"/>
                    <w:tr2bl w:val="nil"/>
                  </w:tcBorders>
                  <w:vAlign w:val="center"/>
                </w:tcPr>
                <w:p w14:paraId="36375701">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52.1</w:t>
                  </w:r>
                </w:p>
              </w:tc>
              <w:tc>
                <w:tcPr>
                  <w:tcW w:w="851" w:type="pct"/>
                  <w:tcBorders>
                    <w:tl2br w:val="nil"/>
                    <w:tr2bl w:val="nil"/>
                  </w:tcBorders>
                  <w:vAlign w:val="center"/>
                </w:tcPr>
                <w:p w14:paraId="0CE7248E">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65</w:t>
                  </w:r>
                </w:p>
              </w:tc>
              <w:tc>
                <w:tcPr>
                  <w:tcW w:w="646" w:type="pct"/>
                  <w:tcBorders>
                    <w:tl2br w:val="nil"/>
                    <w:tr2bl w:val="nil"/>
                  </w:tcBorders>
                  <w:vAlign w:val="center"/>
                </w:tcPr>
                <w:p w14:paraId="31030A0D">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11A246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3" w:type="dxa"/>
                  <w:tcBorders>
                    <w:tl2br w:val="nil"/>
                    <w:tr2bl w:val="nil"/>
                  </w:tcBorders>
                  <w:vAlign w:val="center"/>
                </w:tcPr>
                <w:p w14:paraId="0A801D0B">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N2东侧厂界外1米</w:t>
                  </w:r>
                </w:p>
              </w:tc>
              <w:tc>
                <w:tcPr>
                  <w:tcW w:w="755" w:type="pct"/>
                  <w:vMerge w:val="continue"/>
                  <w:tcBorders>
                    <w:tl2br w:val="nil"/>
                    <w:tr2bl w:val="nil"/>
                  </w:tcBorders>
                  <w:vAlign w:val="center"/>
                </w:tcPr>
                <w:p w14:paraId="1AA8128E">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p>
              </w:tc>
              <w:tc>
                <w:tcPr>
                  <w:tcW w:w="1339" w:type="dxa"/>
                  <w:tcBorders>
                    <w:tl2br w:val="nil"/>
                    <w:tr2bl w:val="nil"/>
                  </w:tcBorders>
                  <w:vAlign w:val="center"/>
                </w:tcPr>
                <w:p w14:paraId="74BBC8DB">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58.5</w:t>
                  </w:r>
                </w:p>
              </w:tc>
              <w:tc>
                <w:tcPr>
                  <w:tcW w:w="851" w:type="pct"/>
                  <w:tcBorders>
                    <w:tl2br w:val="nil"/>
                    <w:tr2bl w:val="nil"/>
                  </w:tcBorders>
                  <w:vAlign w:val="center"/>
                </w:tcPr>
                <w:p w14:paraId="135194AD">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65</w:t>
                  </w:r>
                </w:p>
              </w:tc>
              <w:tc>
                <w:tcPr>
                  <w:tcW w:w="646" w:type="pct"/>
                  <w:tcBorders>
                    <w:tl2br w:val="nil"/>
                    <w:tr2bl w:val="nil"/>
                  </w:tcBorders>
                  <w:vAlign w:val="center"/>
                </w:tcPr>
                <w:p w14:paraId="7FEA977F">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46E339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3" w:type="dxa"/>
                  <w:tcBorders>
                    <w:tl2br w:val="nil"/>
                    <w:tr2bl w:val="nil"/>
                  </w:tcBorders>
                  <w:vAlign w:val="center"/>
                </w:tcPr>
                <w:p w14:paraId="5BE7252A">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N3南侧厂界外1米</w:t>
                  </w:r>
                </w:p>
              </w:tc>
              <w:tc>
                <w:tcPr>
                  <w:tcW w:w="755" w:type="pct"/>
                  <w:vMerge w:val="continue"/>
                  <w:tcBorders>
                    <w:tl2br w:val="nil"/>
                    <w:tr2bl w:val="nil"/>
                  </w:tcBorders>
                  <w:vAlign w:val="center"/>
                </w:tcPr>
                <w:p w14:paraId="21D853B7">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p>
              </w:tc>
              <w:tc>
                <w:tcPr>
                  <w:tcW w:w="1339" w:type="dxa"/>
                  <w:tcBorders>
                    <w:tl2br w:val="nil"/>
                    <w:tr2bl w:val="nil"/>
                  </w:tcBorders>
                  <w:vAlign w:val="center"/>
                </w:tcPr>
                <w:p w14:paraId="3C358412">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51.9</w:t>
                  </w:r>
                </w:p>
              </w:tc>
              <w:tc>
                <w:tcPr>
                  <w:tcW w:w="851" w:type="pct"/>
                  <w:tcBorders>
                    <w:tl2br w:val="nil"/>
                    <w:tr2bl w:val="nil"/>
                  </w:tcBorders>
                  <w:vAlign w:val="center"/>
                </w:tcPr>
                <w:p w14:paraId="0B547FAB">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65</w:t>
                  </w:r>
                </w:p>
              </w:tc>
              <w:tc>
                <w:tcPr>
                  <w:tcW w:w="646" w:type="pct"/>
                  <w:tcBorders>
                    <w:tl2br w:val="nil"/>
                    <w:tr2bl w:val="nil"/>
                  </w:tcBorders>
                  <w:vAlign w:val="center"/>
                </w:tcPr>
                <w:p w14:paraId="2BC247E7">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129999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3" w:type="dxa"/>
                  <w:tcBorders>
                    <w:tl2br w:val="nil"/>
                    <w:tr2bl w:val="nil"/>
                  </w:tcBorders>
                  <w:vAlign w:val="center"/>
                </w:tcPr>
                <w:p w14:paraId="3FE7C465">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N4西侧厂界外1米</w:t>
                  </w:r>
                </w:p>
              </w:tc>
              <w:tc>
                <w:tcPr>
                  <w:tcW w:w="755" w:type="pct"/>
                  <w:vMerge w:val="continue"/>
                  <w:tcBorders>
                    <w:tl2br w:val="nil"/>
                    <w:tr2bl w:val="nil"/>
                  </w:tcBorders>
                  <w:vAlign w:val="center"/>
                </w:tcPr>
                <w:p w14:paraId="452A4D96">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p>
              </w:tc>
              <w:tc>
                <w:tcPr>
                  <w:tcW w:w="1339" w:type="dxa"/>
                  <w:tcBorders>
                    <w:tl2br w:val="nil"/>
                    <w:tr2bl w:val="nil"/>
                  </w:tcBorders>
                  <w:vAlign w:val="center"/>
                </w:tcPr>
                <w:p w14:paraId="1592B587">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62.6</w:t>
                  </w:r>
                </w:p>
              </w:tc>
              <w:tc>
                <w:tcPr>
                  <w:tcW w:w="851" w:type="pct"/>
                  <w:tcBorders>
                    <w:tl2br w:val="nil"/>
                    <w:tr2bl w:val="nil"/>
                  </w:tcBorders>
                  <w:vAlign w:val="center"/>
                </w:tcPr>
                <w:p w14:paraId="59A927F0">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65</w:t>
                  </w:r>
                </w:p>
              </w:tc>
              <w:tc>
                <w:tcPr>
                  <w:tcW w:w="646" w:type="pct"/>
                  <w:tcBorders>
                    <w:tl2br w:val="nil"/>
                    <w:tr2bl w:val="nil"/>
                  </w:tcBorders>
                  <w:vAlign w:val="center"/>
                </w:tcPr>
                <w:p w14:paraId="6D8FC6E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755BE6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3" w:type="dxa"/>
                  <w:tcBorders>
                    <w:tl2br w:val="nil"/>
                    <w:tr2bl w:val="nil"/>
                  </w:tcBorders>
                  <w:vAlign w:val="center"/>
                </w:tcPr>
                <w:p w14:paraId="1A74DC47">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N1北侧厂界外1米</w:t>
                  </w:r>
                </w:p>
              </w:tc>
              <w:tc>
                <w:tcPr>
                  <w:tcW w:w="755" w:type="pct"/>
                  <w:vMerge w:val="restart"/>
                  <w:tcBorders>
                    <w:tl2br w:val="nil"/>
                    <w:tr2bl w:val="nil"/>
                  </w:tcBorders>
                  <w:vAlign w:val="center"/>
                </w:tcPr>
                <w:p w14:paraId="4881CC70">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1月11日</w:t>
                  </w:r>
                </w:p>
              </w:tc>
              <w:tc>
                <w:tcPr>
                  <w:tcW w:w="1339" w:type="dxa"/>
                  <w:tcBorders>
                    <w:tl2br w:val="nil"/>
                    <w:tr2bl w:val="nil"/>
                  </w:tcBorders>
                  <w:vAlign w:val="center"/>
                </w:tcPr>
                <w:p w14:paraId="1071D89C">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49.9</w:t>
                  </w:r>
                </w:p>
              </w:tc>
              <w:tc>
                <w:tcPr>
                  <w:tcW w:w="851" w:type="pct"/>
                  <w:tcBorders>
                    <w:tl2br w:val="nil"/>
                    <w:tr2bl w:val="nil"/>
                  </w:tcBorders>
                  <w:vAlign w:val="center"/>
                </w:tcPr>
                <w:p w14:paraId="31F908C4">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65</w:t>
                  </w:r>
                </w:p>
              </w:tc>
              <w:tc>
                <w:tcPr>
                  <w:tcW w:w="646" w:type="pct"/>
                  <w:tcBorders>
                    <w:tl2br w:val="nil"/>
                    <w:tr2bl w:val="nil"/>
                  </w:tcBorders>
                  <w:vAlign w:val="center"/>
                </w:tcPr>
                <w:p w14:paraId="210E487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70460C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3" w:type="dxa"/>
                  <w:tcBorders>
                    <w:tl2br w:val="nil"/>
                    <w:tr2bl w:val="nil"/>
                  </w:tcBorders>
                  <w:vAlign w:val="center"/>
                </w:tcPr>
                <w:p w14:paraId="007D558C">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N2东侧厂界外1米</w:t>
                  </w:r>
                </w:p>
              </w:tc>
              <w:tc>
                <w:tcPr>
                  <w:tcW w:w="755" w:type="pct"/>
                  <w:vMerge w:val="continue"/>
                  <w:tcBorders>
                    <w:tl2br w:val="nil"/>
                    <w:tr2bl w:val="nil"/>
                  </w:tcBorders>
                  <w:vAlign w:val="center"/>
                </w:tcPr>
                <w:p w14:paraId="2AFABA31">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lang w:val="en-US" w:eastAsia="zh-CN"/>
                    </w:rPr>
                  </w:pPr>
                </w:p>
              </w:tc>
              <w:tc>
                <w:tcPr>
                  <w:tcW w:w="1339" w:type="dxa"/>
                  <w:tcBorders>
                    <w:tl2br w:val="nil"/>
                    <w:tr2bl w:val="nil"/>
                  </w:tcBorders>
                  <w:vAlign w:val="center"/>
                </w:tcPr>
                <w:p w14:paraId="6A64808A">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52.6</w:t>
                  </w:r>
                </w:p>
              </w:tc>
              <w:tc>
                <w:tcPr>
                  <w:tcW w:w="851" w:type="pct"/>
                  <w:tcBorders>
                    <w:tl2br w:val="nil"/>
                    <w:tr2bl w:val="nil"/>
                  </w:tcBorders>
                  <w:vAlign w:val="center"/>
                </w:tcPr>
                <w:p w14:paraId="16AE778B">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65</w:t>
                  </w:r>
                </w:p>
              </w:tc>
              <w:tc>
                <w:tcPr>
                  <w:tcW w:w="646" w:type="pct"/>
                  <w:tcBorders>
                    <w:tl2br w:val="nil"/>
                    <w:tr2bl w:val="nil"/>
                  </w:tcBorders>
                  <w:vAlign w:val="center"/>
                </w:tcPr>
                <w:p w14:paraId="6B9BE519">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0A0134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3" w:type="dxa"/>
                  <w:tcBorders>
                    <w:tl2br w:val="nil"/>
                    <w:tr2bl w:val="nil"/>
                  </w:tcBorders>
                  <w:vAlign w:val="center"/>
                </w:tcPr>
                <w:p w14:paraId="49DED117">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N3南侧厂界外1米</w:t>
                  </w:r>
                </w:p>
              </w:tc>
              <w:tc>
                <w:tcPr>
                  <w:tcW w:w="755" w:type="pct"/>
                  <w:vMerge w:val="continue"/>
                  <w:tcBorders>
                    <w:tl2br w:val="nil"/>
                    <w:tr2bl w:val="nil"/>
                  </w:tcBorders>
                  <w:vAlign w:val="center"/>
                </w:tcPr>
                <w:p w14:paraId="31607956">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lang w:val="en-US" w:eastAsia="zh-CN"/>
                    </w:rPr>
                  </w:pPr>
                </w:p>
              </w:tc>
              <w:tc>
                <w:tcPr>
                  <w:tcW w:w="1339" w:type="dxa"/>
                  <w:tcBorders>
                    <w:tl2br w:val="nil"/>
                    <w:tr2bl w:val="nil"/>
                  </w:tcBorders>
                  <w:vAlign w:val="center"/>
                </w:tcPr>
                <w:p w14:paraId="02F5E24F">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49.7</w:t>
                  </w:r>
                </w:p>
              </w:tc>
              <w:tc>
                <w:tcPr>
                  <w:tcW w:w="851" w:type="pct"/>
                  <w:tcBorders>
                    <w:tl2br w:val="nil"/>
                    <w:tr2bl w:val="nil"/>
                  </w:tcBorders>
                  <w:vAlign w:val="center"/>
                </w:tcPr>
                <w:p w14:paraId="46E74493">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65</w:t>
                  </w:r>
                </w:p>
              </w:tc>
              <w:tc>
                <w:tcPr>
                  <w:tcW w:w="646" w:type="pct"/>
                  <w:tcBorders>
                    <w:tl2br w:val="nil"/>
                    <w:tr2bl w:val="nil"/>
                  </w:tcBorders>
                  <w:vAlign w:val="center"/>
                </w:tcPr>
                <w:p w14:paraId="421DAD8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630472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23" w:type="dxa"/>
                  <w:tcBorders>
                    <w:tl2br w:val="nil"/>
                    <w:tr2bl w:val="nil"/>
                  </w:tcBorders>
                  <w:vAlign w:val="center"/>
                </w:tcPr>
                <w:p w14:paraId="0478CC8B">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N4西侧厂界外1米</w:t>
                  </w:r>
                </w:p>
              </w:tc>
              <w:tc>
                <w:tcPr>
                  <w:tcW w:w="755" w:type="pct"/>
                  <w:vMerge w:val="continue"/>
                  <w:tcBorders>
                    <w:tl2br w:val="nil"/>
                    <w:tr2bl w:val="nil"/>
                  </w:tcBorders>
                  <w:vAlign w:val="center"/>
                </w:tcPr>
                <w:p w14:paraId="680BFC81">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FF0000"/>
                      <w:sz w:val="21"/>
                      <w:szCs w:val="21"/>
                      <w:lang w:val="en-US" w:eastAsia="zh-CN"/>
                    </w:rPr>
                  </w:pPr>
                </w:p>
              </w:tc>
              <w:tc>
                <w:tcPr>
                  <w:tcW w:w="1339" w:type="dxa"/>
                  <w:tcBorders>
                    <w:tl2br w:val="nil"/>
                    <w:tr2bl w:val="nil"/>
                  </w:tcBorders>
                  <w:vAlign w:val="center"/>
                </w:tcPr>
                <w:p w14:paraId="5218B7EC">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62.2</w:t>
                  </w:r>
                </w:p>
              </w:tc>
              <w:tc>
                <w:tcPr>
                  <w:tcW w:w="851" w:type="pct"/>
                  <w:tcBorders>
                    <w:tl2br w:val="nil"/>
                    <w:tr2bl w:val="nil"/>
                  </w:tcBorders>
                  <w:vAlign w:val="center"/>
                </w:tcPr>
                <w:p w14:paraId="48731D11">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65</w:t>
                  </w:r>
                </w:p>
              </w:tc>
              <w:tc>
                <w:tcPr>
                  <w:tcW w:w="646" w:type="pct"/>
                  <w:tcBorders>
                    <w:tl2br w:val="nil"/>
                    <w:tr2bl w:val="nil"/>
                  </w:tcBorders>
                  <w:vAlign w:val="center"/>
                </w:tcPr>
                <w:p w14:paraId="331C583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bl>
          <w:p w14:paraId="72DAAF8B">
            <w:pPr>
              <w:keepNext w:val="0"/>
              <w:keepLines w:val="0"/>
              <w:pageBreakBefore w:val="0"/>
              <w:widowControl/>
              <w:kinsoku/>
              <w:wordWrap/>
              <w:overflowPunct/>
              <w:topLinePunct w:val="0"/>
              <w:autoSpaceDE w:val="0"/>
              <w:autoSpaceDN w:val="0"/>
              <w:bidi w:val="0"/>
              <w:adjustRightInd w:val="0"/>
              <w:snapToGrid w:val="0"/>
              <w:spacing w:after="0" w:line="360" w:lineRule="auto"/>
              <w:ind w:firstLine="480" w:firstLineChars="200"/>
              <w:jc w:val="left"/>
              <w:textAlignment w:val="baseline"/>
              <w:rPr>
                <w:rFonts w:hint="default" w:ascii="Times New Roman" w:hAnsi="Times New Roman" w:eastAsia="宋体" w:cs="Times New Roman"/>
                <w:color w:val="FF0000"/>
                <w:sz w:val="24"/>
                <w:szCs w:val="24"/>
              </w:rPr>
            </w:pPr>
            <w:r>
              <w:rPr>
                <w:rFonts w:hint="default" w:ascii="Times New Roman" w:hAnsi="Times New Roman" w:eastAsia="宋体" w:cs="Times New Roman"/>
                <w:color w:val="auto"/>
                <w:sz w:val="24"/>
                <w:szCs w:val="24"/>
                <w:lang w:val="en-US" w:eastAsia="zh-CN"/>
              </w:rPr>
              <w:t>项目</w:t>
            </w:r>
            <w:r>
              <w:rPr>
                <w:rFonts w:hint="eastAsia" w:ascii="Times New Roman" w:hAnsi="Times New Roman" w:eastAsia="宋体" w:cs="Times New Roman"/>
                <w:color w:val="auto"/>
                <w:sz w:val="24"/>
                <w:szCs w:val="24"/>
                <w:lang w:val="en-US" w:eastAsia="zh-CN"/>
              </w:rPr>
              <w:t>夜间（22:00－次日06:00）不生产，</w:t>
            </w:r>
            <w:r>
              <w:rPr>
                <w:rFonts w:hint="default" w:ascii="Times New Roman" w:hAnsi="Times New Roman" w:eastAsia="宋体" w:cs="Times New Roman"/>
                <w:color w:val="auto"/>
                <w:sz w:val="24"/>
                <w:szCs w:val="24"/>
                <w:lang w:val="en-US" w:eastAsia="zh-CN"/>
              </w:rPr>
              <w:t>噪声源主要来自</w:t>
            </w:r>
            <w:r>
              <w:rPr>
                <w:rFonts w:hint="eastAsia" w:ascii="Times New Roman" w:hAnsi="Times New Roman" w:eastAsia="宋体" w:cs="Times New Roman"/>
                <w:color w:val="auto"/>
                <w:sz w:val="24"/>
                <w:szCs w:val="24"/>
                <w:lang w:val="en-US" w:eastAsia="zh-CN"/>
              </w:rPr>
              <w:t>厂房内生产设备及各类泵、风机运行时产生的噪声</w:t>
            </w:r>
            <w:r>
              <w:rPr>
                <w:rFonts w:hint="default" w:ascii="Times New Roman" w:hAnsi="Times New Roman" w:eastAsia="宋体" w:cs="Times New Roman"/>
                <w:color w:val="auto"/>
                <w:sz w:val="24"/>
                <w:szCs w:val="24"/>
                <w:lang w:val="en-US" w:eastAsia="zh-CN"/>
              </w:rPr>
              <w:t>，由上表检测数据可知，</w:t>
            </w:r>
            <w:r>
              <w:rPr>
                <w:rFonts w:hint="eastAsia" w:ascii="Times New Roman" w:hAnsi="Times New Roman" w:eastAsia="宋体" w:cs="Times New Roman"/>
                <w:color w:val="auto"/>
                <w:sz w:val="24"/>
                <w:szCs w:val="24"/>
                <w:lang w:val="en-US" w:eastAsia="zh-CN"/>
              </w:rPr>
              <w:t>现阶段</w:t>
            </w:r>
            <w:r>
              <w:rPr>
                <w:rFonts w:hint="default" w:ascii="Times New Roman" w:hAnsi="Times New Roman" w:eastAsia="宋体" w:cs="Times New Roman"/>
                <w:color w:val="auto"/>
                <w:sz w:val="24"/>
                <w:szCs w:val="24"/>
              </w:rPr>
              <w:t>厂界</w:t>
            </w:r>
            <w:r>
              <w:rPr>
                <w:rFonts w:hint="eastAsia" w:ascii="Times New Roman" w:hAnsi="Times New Roman" w:eastAsia="宋体" w:cs="Times New Roman"/>
                <w:color w:val="auto"/>
                <w:sz w:val="24"/>
                <w:szCs w:val="24"/>
                <w:lang w:val="en-US" w:eastAsia="zh-CN"/>
              </w:rPr>
              <w:t>昼间噪声最高62.6 dB（A），</w:t>
            </w:r>
            <w:r>
              <w:rPr>
                <w:rFonts w:hint="default" w:ascii="Times New Roman" w:hAnsi="Times New Roman" w:eastAsia="宋体" w:cs="Times New Roman"/>
                <w:color w:val="auto"/>
                <w:sz w:val="24"/>
                <w:szCs w:val="24"/>
                <w:lang w:eastAsia="zh-CN"/>
              </w:rPr>
              <w:t>排放</w:t>
            </w:r>
            <w:r>
              <w:rPr>
                <w:rFonts w:hint="eastAsia" w:ascii="Times New Roman" w:hAnsi="Times New Roman" w:eastAsia="宋体" w:cs="Times New Roman"/>
                <w:color w:val="auto"/>
                <w:sz w:val="24"/>
                <w:szCs w:val="24"/>
                <w:lang w:val="en-US" w:eastAsia="zh-CN"/>
              </w:rPr>
              <w:t>满足</w:t>
            </w:r>
            <w:r>
              <w:rPr>
                <w:rFonts w:hint="default" w:ascii="Times New Roman" w:hAnsi="Times New Roman" w:eastAsia="宋体" w:cs="Times New Roman"/>
                <w:color w:val="auto"/>
                <w:sz w:val="24"/>
                <w:szCs w:val="24"/>
              </w:rPr>
              <w:t>《工业企业厂界环境噪声排放标准》（GB12348-2008）</w:t>
            </w:r>
            <w:r>
              <w:rPr>
                <w:rFonts w:hint="default" w:ascii="Times New Roman" w:hAnsi="Times New Roman" w:eastAsia="宋体" w:cs="Times New Roman"/>
                <w:color w:val="auto"/>
                <w:sz w:val="24"/>
                <w:szCs w:val="24"/>
                <w:lang w:eastAsia="zh-CN"/>
              </w:rPr>
              <w:t>中的</w:t>
            </w:r>
            <w:r>
              <w:rPr>
                <w:rFonts w:hint="default" w:ascii="Times New Roman" w:hAnsi="Times New Roman" w:eastAsia="宋体" w:cs="Times New Roman"/>
                <w:color w:val="auto"/>
                <w:sz w:val="24"/>
                <w:szCs w:val="24"/>
              </w:rPr>
              <w:t>3类标准</w:t>
            </w:r>
            <w:r>
              <w:rPr>
                <w:rFonts w:hint="default" w:ascii="Times New Roman" w:hAnsi="Times New Roman" w:eastAsia="宋体" w:cs="Times New Roman"/>
                <w:color w:val="auto"/>
                <w:sz w:val="24"/>
                <w:szCs w:val="24"/>
                <w:lang w:eastAsia="zh-CN"/>
              </w:rPr>
              <w:t>。</w:t>
            </w:r>
          </w:p>
          <w:p w14:paraId="58E9FBC6">
            <w:pPr>
              <w:keepNext w:val="0"/>
              <w:keepLines w:val="0"/>
              <w:pageBreakBefore w:val="0"/>
              <w:widowControl/>
              <w:kinsoku/>
              <w:wordWrap/>
              <w:overflowPunct/>
              <w:topLinePunct w:val="0"/>
              <w:bidi w:val="0"/>
              <w:adjustRightInd w:val="0"/>
              <w:snapToGrid w:val="0"/>
              <w:spacing w:after="0"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4、固废监测结果</w:t>
            </w:r>
          </w:p>
          <w:p w14:paraId="1F29C785">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表7-</w:t>
            </w:r>
            <w:r>
              <w:rPr>
                <w:rFonts w:hint="eastAsia" w:ascii="Times New Roman" w:hAnsi="Times New Roman" w:eastAsia="宋体" w:cs="Times New Roman"/>
                <w:b/>
                <w:bCs/>
                <w:color w:val="auto"/>
                <w:sz w:val="21"/>
                <w:szCs w:val="21"/>
                <w:lang w:val="en-US" w:eastAsia="zh-CN"/>
              </w:rPr>
              <w:t>5</w:t>
            </w:r>
            <w:r>
              <w:rPr>
                <w:rFonts w:hint="default" w:ascii="Times New Roman" w:hAnsi="Times New Roman" w:eastAsia="宋体" w:cs="Times New Roman"/>
                <w:b/>
                <w:bCs/>
                <w:color w:val="auto"/>
                <w:sz w:val="21"/>
                <w:szCs w:val="21"/>
                <w:lang w:val="en-US" w:eastAsia="zh-CN"/>
              </w:rPr>
              <w:t xml:space="preserve"> 固体废物检测一览表（单位：kg）</w:t>
            </w:r>
          </w:p>
          <w:tbl>
            <w:tblPr>
              <w:tblStyle w:val="19"/>
              <w:tblW w:w="499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2592"/>
              <w:gridCol w:w="1237"/>
              <w:gridCol w:w="1363"/>
              <w:gridCol w:w="2450"/>
            </w:tblGrid>
            <w:tr w14:paraId="26FC13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95" w:type="pct"/>
                  <w:vMerge w:val="restart"/>
                  <w:tcBorders>
                    <w:tl2br w:val="nil"/>
                    <w:tr2bl w:val="nil"/>
                  </w:tcBorders>
                  <w:vAlign w:val="center"/>
                </w:tcPr>
                <w:p w14:paraId="75F094ED">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1561" w:type="pct"/>
                  <w:vMerge w:val="restart"/>
                  <w:tcBorders>
                    <w:tl2br w:val="nil"/>
                    <w:tr2bl w:val="nil"/>
                  </w:tcBorders>
                  <w:vAlign w:val="center"/>
                </w:tcPr>
                <w:p w14:paraId="44D1ACA0">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固废名称</w:t>
                  </w:r>
                </w:p>
              </w:tc>
              <w:tc>
                <w:tcPr>
                  <w:tcW w:w="1566" w:type="pct"/>
                  <w:gridSpan w:val="2"/>
                  <w:tcBorders>
                    <w:tl2br w:val="nil"/>
                    <w:tr2bl w:val="nil"/>
                  </w:tcBorders>
                  <w:vAlign w:val="center"/>
                </w:tcPr>
                <w:p w14:paraId="4A4BDF5B">
                  <w:pPr>
                    <w:keepNext w:val="0"/>
                    <w:keepLines w:val="0"/>
                    <w:pageBreakBefore w:val="0"/>
                    <w:widowControl/>
                    <w:kinsoku/>
                    <w:wordWrap/>
                    <w:overflowPunct/>
                    <w:topLinePunct w:val="0"/>
                    <w:autoSpaceDE/>
                    <w:autoSpaceDN/>
                    <w:bidi w:val="0"/>
                    <w:snapToGrid/>
                    <w:spacing w:after="0" w:afterLines="0" w:line="240" w:lineRule="auto"/>
                    <w:jc w:val="center"/>
                    <w:textAlignment w:val="auto"/>
                    <w:rPr>
                      <w:rFonts w:hint="default" w:ascii="Times New Roman" w:hAnsi="Times New Roman" w:eastAsia="宋体" w:cs="Times New Roman"/>
                      <w:b/>
                      <w:bCs/>
                      <w:color w:val="auto"/>
                      <w:sz w:val="21"/>
                      <w:szCs w:val="21"/>
                      <w:lang w:val="en-US"/>
                    </w:rPr>
                  </w:pPr>
                  <w:r>
                    <w:rPr>
                      <w:rFonts w:hint="default" w:ascii="Times New Roman" w:hAnsi="Times New Roman" w:eastAsia="宋体" w:cs="Times New Roman"/>
                      <w:b/>
                      <w:bCs/>
                      <w:color w:val="auto"/>
                      <w:sz w:val="21"/>
                      <w:szCs w:val="21"/>
                      <w:lang w:eastAsia="zh-CN"/>
                    </w:rPr>
                    <w:t>验收期间产生的固废</w:t>
                  </w:r>
                </w:p>
              </w:tc>
              <w:tc>
                <w:tcPr>
                  <w:tcW w:w="1476" w:type="pct"/>
                  <w:vMerge w:val="restart"/>
                  <w:tcBorders>
                    <w:tl2br w:val="nil"/>
                    <w:tr2bl w:val="nil"/>
                  </w:tcBorders>
                  <w:vAlign w:val="center"/>
                </w:tcPr>
                <w:p w14:paraId="2BC532E8">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bCs/>
                      <w:color w:val="auto"/>
                      <w:sz w:val="21"/>
                      <w:szCs w:val="21"/>
                      <w:lang w:val="en-US" w:eastAsia="zh-CN"/>
                    </w:rPr>
                    <w:t>处置方式</w:t>
                  </w:r>
                </w:p>
              </w:tc>
            </w:tr>
            <w:tr w14:paraId="4716CD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95" w:type="pct"/>
                  <w:vMerge w:val="continue"/>
                  <w:tcBorders>
                    <w:tl2br w:val="nil"/>
                    <w:tr2bl w:val="nil"/>
                  </w:tcBorders>
                  <w:vAlign w:val="center"/>
                </w:tcPr>
                <w:p w14:paraId="1A24D26D">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b/>
                      <w:bCs/>
                      <w:color w:val="auto"/>
                      <w:sz w:val="21"/>
                      <w:szCs w:val="21"/>
                    </w:rPr>
                  </w:pPr>
                </w:p>
              </w:tc>
              <w:tc>
                <w:tcPr>
                  <w:tcW w:w="1561" w:type="pct"/>
                  <w:vMerge w:val="continue"/>
                  <w:tcBorders>
                    <w:tl2br w:val="nil"/>
                    <w:tr2bl w:val="nil"/>
                  </w:tcBorders>
                  <w:vAlign w:val="center"/>
                </w:tcPr>
                <w:p w14:paraId="2DA5BDCF">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b/>
                      <w:bCs/>
                      <w:color w:val="auto"/>
                      <w:sz w:val="21"/>
                      <w:szCs w:val="21"/>
                    </w:rPr>
                  </w:pPr>
                </w:p>
              </w:tc>
              <w:tc>
                <w:tcPr>
                  <w:tcW w:w="745" w:type="pct"/>
                  <w:tcBorders>
                    <w:tl2br w:val="nil"/>
                    <w:tr2bl w:val="nil"/>
                  </w:tcBorders>
                  <w:vAlign w:val="center"/>
                </w:tcPr>
                <w:p w14:paraId="1A865E3A">
                  <w:pPr>
                    <w:pStyle w:val="36"/>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0"/>
                      <w:kern w:val="2"/>
                      <w:sz w:val="21"/>
                      <w:szCs w:val="21"/>
                      <w:lang w:val="en-US" w:eastAsia="zh-CN"/>
                    </w:rPr>
                    <w:t>1月10日</w:t>
                  </w:r>
                </w:p>
              </w:tc>
              <w:tc>
                <w:tcPr>
                  <w:tcW w:w="821" w:type="pct"/>
                  <w:tcBorders>
                    <w:tl2br w:val="nil"/>
                    <w:tr2bl w:val="nil"/>
                  </w:tcBorders>
                  <w:vAlign w:val="center"/>
                </w:tcPr>
                <w:p w14:paraId="5143D16B">
                  <w:pPr>
                    <w:pStyle w:val="36"/>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0"/>
                      <w:kern w:val="2"/>
                      <w:sz w:val="21"/>
                      <w:szCs w:val="21"/>
                      <w:lang w:val="en-US" w:eastAsia="zh-CN"/>
                    </w:rPr>
                    <w:t>1月11日</w:t>
                  </w:r>
                </w:p>
              </w:tc>
              <w:tc>
                <w:tcPr>
                  <w:tcW w:w="1476" w:type="pct"/>
                  <w:vMerge w:val="continue"/>
                  <w:tcBorders>
                    <w:tl2br w:val="nil"/>
                    <w:tr2bl w:val="nil"/>
                  </w:tcBorders>
                  <w:vAlign w:val="center"/>
                </w:tcPr>
                <w:p w14:paraId="142A62A9">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b w:val="0"/>
                      <w:bCs w:val="0"/>
                      <w:color w:val="FF0000"/>
                      <w:sz w:val="21"/>
                      <w:szCs w:val="21"/>
                    </w:rPr>
                  </w:pPr>
                </w:p>
              </w:tc>
            </w:tr>
            <w:tr w14:paraId="35056A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5" w:type="pct"/>
                  <w:tcBorders>
                    <w:tl2br w:val="nil"/>
                    <w:tr2bl w:val="nil"/>
                  </w:tcBorders>
                  <w:vAlign w:val="center"/>
                </w:tcPr>
                <w:p w14:paraId="5628BFF7">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561" w:type="pct"/>
                  <w:tcBorders>
                    <w:tl2br w:val="nil"/>
                    <w:tr2bl w:val="nil"/>
                  </w:tcBorders>
                  <w:vAlign w:val="center"/>
                </w:tcPr>
                <w:p w14:paraId="04588F05">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生活垃圾</w:t>
                  </w:r>
                </w:p>
              </w:tc>
              <w:tc>
                <w:tcPr>
                  <w:tcW w:w="745" w:type="pct"/>
                  <w:tcBorders>
                    <w:tl2br w:val="nil"/>
                    <w:tr2bl w:val="nil"/>
                  </w:tcBorders>
                  <w:vAlign w:val="center"/>
                </w:tcPr>
                <w:p w14:paraId="575638F1">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821" w:type="pct"/>
                  <w:tcBorders>
                    <w:tl2br w:val="nil"/>
                    <w:tr2bl w:val="nil"/>
                  </w:tcBorders>
                  <w:vAlign w:val="center"/>
                </w:tcPr>
                <w:p w14:paraId="68868630">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1476" w:type="pct"/>
                  <w:tcBorders>
                    <w:tl2br w:val="nil"/>
                    <w:tr2bl w:val="nil"/>
                  </w:tcBorders>
                  <w:vAlign w:val="center"/>
                </w:tcPr>
                <w:p w14:paraId="21FCC691">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rPr>
                    <w:t>环卫部门统一清运</w:t>
                  </w:r>
                </w:p>
              </w:tc>
            </w:tr>
            <w:tr w14:paraId="140BA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5" w:type="pct"/>
                  <w:tcBorders>
                    <w:tl2br w:val="nil"/>
                    <w:tr2bl w:val="nil"/>
                  </w:tcBorders>
                  <w:vAlign w:val="center"/>
                </w:tcPr>
                <w:p w14:paraId="6FF13EB8">
                  <w:pPr>
                    <w:pStyle w:val="29"/>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1561" w:type="pct"/>
                  <w:tcBorders>
                    <w:tl2br w:val="nil"/>
                    <w:tr2bl w:val="nil"/>
                  </w:tcBorders>
                  <w:shd w:val="clear" w:color="auto" w:fill="auto"/>
                  <w:vAlign w:val="center"/>
                </w:tcPr>
                <w:p w14:paraId="3106385D">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边角料</w:t>
                  </w:r>
                </w:p>
              </w:tc>
              <w:tc>
                <w:tcPr>
                  <w:tcW w:w="745" w:type="pct"/>
                  <w:tcBorders>
                    <w:tl2br w:val="nil"/>
                    <w:tr2bl w:val="nil"/>
                  </w:tcBorders>
                  <w:shd w:val="clear" w:color="auto" w:fill="auto"/>
                  <w:vAlign w:val="center"/>
                </w:tcPr>
                <w:p w14:paraId="65534C59">
                  <w:pPr>
                    <w:pStyle w:val="29"/>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0.6</w:t>
                  </w:r>
                </w:p>
              </w:tc>
              <w:tc>
                <w:tcPr>
                  <w:tcW w:w="821" w:type="pct"/>
                  <w:tcBorders>
                    <w:tl2br w:val="nil"/>
                    <w:tr2bl w:val="nil"/>
                  </w:tcBorders>
                  <w:shd w:val="clear" w:color="auto" w:fill="auto"/>
                  <w:vAlign w:val="center"/>
                </w:tcPr>
                <w:p w14:paraId="481F32C6">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0.5</w:t>
                  </w:r>
                </w:p>
              </w:tc>
              <w:tc>
                <w:tcPr>
                  <w:tcW w:w="1476" w:type="pct"/>
                  <w:tcBorders>
                    <w:tl2br w:val="nil"/>
                    <w:tr2bl w:val="nil"/>
                  </w:tcBorders>
                  <w:vAlign w:val="center"/>
                </w:tcPr>
                <w:p w14:paraId="5011FBC4">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lang w:val="en-US" w:eastAsia="zh-CN"/>
                    </w:rPr>
                    <w:t>收集后外售</w:t>
                  </w:r>
                </w:p>
              </w:tc>
            </w:tr>
            <w:tr w14:paraId="48A767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5" w:type="pct"/>
                  <w:tcBorders>
                    <w:tl2br w:val="nil"/>
                    <w:tr2bl w:val="nil"/>
                  </w:tcBorders>
                  <w:vAlign w:val="center"/>
                </w:tcPr>
                <w:p w14:paraId="33D87474">
                  <w:pPr>
                    <w:pStyle w:val="29"/>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w:t>
                  </w:r>
                </w:p>
              </w:tc>
              <w:tc>
                <w:tcPr>
                  <w:tcW w:w="1561" w:type="pct"/>
                  <w:tcBorders>
                    <w:tl2br w:val="nil"/>
                    <w:tr2bl w:val="nil"/>
                  </w:tcBorders>
                  <w:shd w:val="clear" w:color="auto" w:fill="auto"/>
                  <w:vAlign w:val="center"/>
                </w:tcPr>
                <w:p w14:paraId="59892731">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废原料包装桶</w:t>
                  </w:r>
                </w:p>
              </w:tc>
              <w:tc>
                <w:tcPr>
                  <w:tcW w:w="745" w:type="pct"/>
                  <w:tcBorders>
                    <w:tl2br w:val="nil"/>
                    <w:tr2bl w:val="nil"/>
                  </w:tcBorders>
                  <w:shd w:val="clear" w:color="auto" w:fill="auto"/>
                  <w:vAlign w:val="center"/>
                </w:tcPr>
                <w:p w14:paraId="4BCF7A50">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0</w:t>
                  </w:r>
                </w:p>
              </w:tc>
              <w:tc>
                <w:tcPr>
                  <w:tcW w:w="821" w:type="pct"/>
                  <w:tcBorders>
                    <w:tl2br w:val="nil"/>
                    <w:tr2bl w:val="nil"/>
                  </w:tcBorders>
                  <w:shd w:val="clear" w:color="auto" w:fill="auto"/>
                  <w:vAlign w:val="center"/>
                </w:tcPr>
                <w:p w14:paraId="0736A643">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1</w:t>
                  </w:r>
                </w:p>
              </w:tc>
              <w:tc>
                <w:tcPr>
                  <w:tcW w:w="1476" w:type="pct"/>
                  <w:vMerge w:val="restart"/>
                  <w:tcBorders>
                    <w:tl2br w:val="nil"/>
                    <w:tr2bl w:val="nil"/>
                  </w:tcBorders>
                  <w:vAlign w:val="center"/>
                </w:tcPr>
                <w:p w14:paraId="7B2189B7">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auto"/>
                      <w:sz w:val="21"/>
                      <w:szCs w:val="21"/>
                    </w:rPr>
                    <w:t>集中收集后</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贮存</w:t>
                  </w:r>
                  <w:r>
                    <w:rPr>
                      <w:rFonts w:hint="default" w:ascii="Times New Roman" w:hAnsi="Times New Roman" w:eastAsia="宋体" w:cs="Times New Roman"/>
                      <w:color w:val="000000" w:themeColor="text1"/>
                      <w:sz w:val="21"/>
                      <w:szCs w:val="21"/>
                      <w:highlight w:val="none"/>
                      <w14:textFill>
                        <w14:solidFill>
                          <w14:schemeClr w14:val="tx1"/>
                        </w14:solidFill>
                      </w14:textFill>
                    </w:rPr>
                    <w:t>于危废间，</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定期</w:t>
                  </w:r>
                  <w:r>
                    <w:rPr>
                      <w:rFonts w:hint="default" w:ascii="Times New Roman" w:hAnsi="Times New Roman" w:eastAsia="宋体" w:cs="Times New Roman"/>
                      <w:color w:val="000000" w:themeColor="text1"/>
                      <w:sz w:val="21"/>
                      <w:szCs w:val="21"/>
                      <w:highlight w:val="none"/>
                      <w14:textFill>
                        <w14:solidFill>
                          <w14:schemeClr w14:val="tx1"/>
                        </w14:solidFill>
                      </w14:textFill>
                    </w:rPr>
                    <w:t>委托</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马鞍山澳新环保科技有限公司进</w:t>
                  </w:r>
                  <w:r>
                    <w:rPr>
                      <w:rFonts w:hint="default" w:ascii="Times New Roman" w:hAnsi="Times New Roman" w:eastAsia="宋体" w:cs="Times New Roman"/>
                      <w:color w:val="auto"/>
                      <w:sz w:val="21"/>
                      <w:szCs w:val="21"/>
                      <w:lang w:val="en-US" w:eastAsia="zh-CN"/>
                    </w:rPr>
                    <w:t>行处置</w:t>
                  </w:r>
                </w:p>
              </w:tc>
            </w:tr>
            <w:tr w14:paraId="30166F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5" w:type="pct"/>
                  <w:tcBorders>
                    <w:tl2br w:val="nil"/>
                    <w:tr2bl w:val="nil"/>
                  </w:tcBorders>
                  <w:vAlign w:val="center"/>
                </w:tcPr>
                <w:p w14:paraId="2BB3CDA6">
                  <w:pPr>
                    <w:pStyle w:val="29"/>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w:t>
                  </w:r>
                </w:p>
              </w:tc>
              <w:tc>
                <w:tcPr>
                  <w:tcW w:w="1561" w:type="pct"/>
                  <w:tcBorders>
                    <w:tl2br w:val="nil"/>
                    <w:tr2bl w:val="nil"/>
                  </w:tcBorders>
                  <w:vAlign w:val="center"/>
                </w:tcPr>
                <w:p w14:paraId="50ABB8CB">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废胶</w:t>
                  </w:r>
                </w:p>
              </w:tc>
              <w:tc>
                <w:tcPr>
                  <w:tcW w:w="1566" w:type="pct"/>
                  <w:gridSpan w:val="2"/>
                  <w:vMerge w:val="restart"/>
                  <w:tcBorders>
                    <w:tl2br w:val="nil"/>
                    <w:tr2bl w:val="nil"/>
                  </w:tcBorders>
                  <w:vAlign w:val="center"/>
                </w:tcPr>
                <w:p w14:paraId="0CF2FCE9">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验收监测期间未产生</w:t>
                  </w:r>
                </w:p>
              </w:tc>
              <w:tc>
                <w:tcPr>
                  <w:tcW w:w="1476" w:type="pct"/>
                  <w:vMerge w:val="continue"/>
                  <w:tcBorders>
                    <w:tl2br w:val="nil"/>
                    <w:tr2bl w:val="nil"/>
                  </w:tcBorders>
                  <w:vAlign w:val="center"/>
                </w:tcPr>
                <w:p w14:paraId="3922D143">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FF0000"/>
                      <w:sz w:val="21"/>
                      <w:szCs w:val="21"/>
                      <w:lang w:val="en-US" w:eastAsia="zh-CN"/>
                    </w:rPr>
                  </w:pPr>
                </w:p>
              </w:tc>
            </w:tr>
            <w:tr w14:paraId="2E18C2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5" w:type="pct"/>
                  <w:tcBorders>
                    <w:tl2br w:val="nil"/>
                    <w:tr2bl w:val="nil"/>
                  </w:tcBorders>
                  <w:vAlign w:val="center"/>
                </w:tcPr>
                <w:p w14:paraId="7DC9FD6C">
                  <w:pPr>
                    <w:pStyle w:val="29"/>
                    <w:keepNext w:val="0"/>
                    <w:keepLines w:val="0"/>
                    <w:pageBreakBefore w:val="0"/>
                    <w:widowControl/>
                    <w:kinsoku/>
                    <w:wordWrap/>
                    <w:overflowPunct/>
                    <w:topLinePunct w:val="0"/>
                    <w:autoSpaceDE/>
                    <w:autoSpaceDN/>
                    <w:bidi w:val="0"/>
                    <w:adjustRightInd w:val="0"/>
                    <w:snapToGrid w:val="0"/>
                    <w:spacing w:after="0" w:afterLines="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1561" w:type="pct"/>
                  <w:tcBorders>
                    <w:tl2br w:val="nil"/>
                    <w:tr2bl w:val="nil"/>
                  </w:tcBorders>
                  <w:vAlign w:val="center"/>
                </w:tcPr>
                <w:p w14:paraId="1710D36C">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废抹布</w:t>
                  </w:r>
                </w:p>
              </w:tc>
              <w:tc>
                <w:tcPr>
                  <w:tcW w:w="1566" w:type="pct"/>
                  <w:gridSpan w:val="2"/>
                  <w:vMerge w:val="continue"/>
                  <w:tcBorders>
                    <w:tl2br w:val="nil"/>
                    <w:tr2bl w:val="nil"/>
                  </w:tcBorders>
                  <w:vAlign w:val="center"/>
                </w:tcPr>
                <w:p w14:paraId="3D22BA3F">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color w:val="FF0000"/>
                      <w:sz w:val="21"/>
                      <w:szCs w:val="21"/>
                      <w:lang w:val="en-US" w:eastAsia="zh-CN"/>
                    </w:rPr>
                  </w:pPr>
                </w:p>
              </w:tc>
              <w:tc>
                <w:tcPr>
                  <w:tcW w:w="1476" w:type="pct"/>
                  <w:vMerge w:val="continue"/>
                  <w:tcBorders>
                    <w:tl2br w:val="nil"/>
                    <w:tr2bl w:val="nil"/>
                  </w:tcBorders>
                  <w:vAlign w:val="center"/>
                </w:tcPr>
                <w:p w14:paraId="142B7EF8">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FF0000"/>
                      <w:sz w:val="21"/>
                      <w:szCs w:val="21"/>
                      <w:lang w:val="en-US" w:eastAsia="zh-CN"/>
                    </w:rPr>
                  </w:pPr>
                </w:p>
              </w:tc>
            </w:tr>
            <w:tr w14:paraId="69E2C3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395" w:type="pct"/>
                  <w:tcBorders>
                    <w:tl2br w:val="nil"/>
                    <w:tr2bl w:val="nil"/>
                  </w:tcBorders>
                  <w:vAlign w:val="center"/>
                </w:tcPr>
                <w:p w14:paraId="3846330A">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w:t>
                  </w:r>
                </w:p>
              </w:tc>
              <w:tc>
                <w:tcPr>
                  <w:tcW w:w="1561" w:type="pct"/>
                  <w:tcBorders>
                    <w:tl2br w:val="nil"/>
                    <w:tr2bl w:val="nil"/>
                  </w:tcBorders>
                  <w:vAlign w:val="center"/>
                </w:tcPr>
                <w:p w14:paraId="08D9D55B">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废活性炭</w:t>
                  </w:r>
                </w:p>
              </w:tc>
              <w:tc>
                <w:tcPr>
                  <w:tcW w:w="1566" w:type="pct"/>
                  <w:gridSpan w:val="2"/>
                  <w:vMerge w:val="continue"/>
                  <w:tcBorders>
                    <w:tl2br w:val="nil"/>
                    <w:tr2bl w:val="nil"/>
                  </w:tcBorders>
                  <w:vAlign w:val="center"/>
                </w:tcPr>
                <w:p w14:paraId="65CAE150">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color w:val="FF0000"/>
                      <w:sz w:val="21"/>
                      <w:szCs w:val="21"/>
                      <w:lang w:val="en-US" w:eastAsia="zh-CN"/>
                    </w:rPr>
                  </w:pPr>
                </w:p>
              </w:tc>
              <w:tc>
                <w:tcPr>
                  <w:tcW w:w="1476" w:type="pct"/>
                  <w:vMerge w:val="continue"/>
                  <w:tcBorders>
                    <w:tl2br w:val="nil"/>
                    <w:tr2bl w:val="nil"/>
                  </w:tcBorders>
                  <w:vAlign w:val="center"/>
                </w:tcPr>
                <w:p w14:paraId="16EDA6E5">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FF0000"/>
                      <w:sz w:val="21"/>
                      <w:szCs w:val="21"/>
                      <w:lang w:val="en-US" w:eastAsia="zh-CN"/>
                    </w:rPr>
                  </w:pPr>
                </w:p>
              </w:tc>
            </w:tr>
            <w:tr w14:paraId="683A71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395" w:type="pct"/>
                  <w:tcBorders>
                    <w:tl2br w:val="nil"/>
                    <w:tr2bl w:val="nil"/>
                  </w:tcBorders>
                  <w:vAlign w:val="center"/>
                </w:tcPr>
                <w:p w14:paraId="064528B5">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w:t>
                  </w:r>
                </w:p>
              </w:tc>
              <w:tc>
                <w:tcPr>
                  <w:tcW w:w="1561" w:type="pct"/>
                  <w:tcBorders>
                    <w:tl2br w:val="nil"/>
                    <w:tr2bl w:val="nil"/>
                  </w:tcBorders>
                  <w:vAlign w:val="center"/>
                </w:tcPr>
                <w:p w14:paraId="61B03175">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废过滤介质</w:t>
                  </w:r>
                </w:p>
              </w:tc>
              <w:tc>
                <w:tcPr>
                  <w:tcW w:w="1566" w:type="pct"/>
                  <w:gridSpan w:val="2"/>
                  <w:vMerge w:val="continue"/>
                  <w:tcBorders>
                    <w:tl2br w:val="nil"/>
                    <w:tr2bl w:val="nil"/>
                  </w:tcBorders>
                  <w:vAlign w:val="center"/>
                </w:tcPr>
                <w:p w14:paraId="6A40C011">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color w:val="FF0000"/>
                      <w:sz w:val="21"/>
                      <w:szCs w:val="21"/>
                      <w:lang w:val="en-US" w:eastAsia="zh-CN"/>
                    </w:rPr>
                  </w:pPr>
                </w:p>
              </w:tc>
              <w:tc>
                <w:tcPr>
                  <w:tcW w:w="1476" w:type="pct"/>
                  <w:vMerge w:val="continue"/>
                  <w:tcBorders>
                    <w:tl2br w:val="nil"/>
                    <w:tr2bl w:val="nil"/>
                  </w:tcBorders>
                  <w:vAlign w:val="center"/>
                </w:tcPr>
                <w:p w14:paraId="4026C477">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FF0000"/>
                      <w:sz w:val="21"/>
                      <w:szCs w:val="21"/>
                      <w:lang w:val="en-US" w:eastAsia="zh-CN"/>
                    </w:rPr>
                  </w:pPr>
                </w:p>
              </w:tc>
            </w:tr>
            <w:tr w14:paraId="642FDC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395" w:type="pct"/>
                  <w:tcBorders>
                    <w:tl2br w:val="nil"/>
                    <w:tr2bl w:val="nil"/>
                  </w:tcBorders>
                  <w:vAlign w:val="center"/>
                </w:tcPr>
                <w:p w14:paraId="42DC9684">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8</w:t>
                  </w:r>
                </w:p>
              </w:tc>
              <w:tc>
                <w:tcPr>
                  <w:tcW w:w="1561" w:type="pct"/>
                  <w:tcBorders>
                    <w:tl2br w:val="nil"/>
                    <w:tr2bl w:val="nil"/>
                  </w:tcBorders>
                  <w:vAlign w:val="center"/>
                </w:tcPr>
                <w:p w14:paraId="78814DCF">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废催化剂</w:t>
                  </w:r>
                </w:p>
              </w:tc>
              <w:tc>
                <w:tcPr>
                  <w:tcW w:w="1566" w:type="pct"/>
                  <w:gridSpan w:val="2"/>
                  <w:vMerge w:val="continue"/>
                  <w:tcBorders>
                    <w:tl2br w:val="nil"/>
                    <w:tr2bl w:val="nil"/>
                  </w:tcBorders>
                  <w:vAlign w:val="center"/>
                </w:tcPr>
                <w:p w14:paraId="1441B70A">
                  <w:pPr>
                    <w:pStyle w:val="29"/>
                    <w:keepNext w:val="0"/>
                    <w:keepLines w:val="0"/>
                    <w:pageBreakBefore w:val="0"/>
                    <w:widowControl/>
                    <w:kinsoku/>
                    <w:wordWrap/>
                    <w:overflowPunct/>
                    <w:topLinePunct w:val="0"/>
                    <w:autoSpaceDE/>
                    <w:autoSpaceDN/>
                    <w:bidi w:val="0"/>
                    <w:adjustRightInd w:val="0"/>
                    <w:snapToGrid w:val="0"/>
                    <w:spacing w:after="0"/>
                    <w:ind w:left="0" w:leftChars="0" w:right="0" w:rightChars="0" w:firstLine="0" w:firstLineChars="0"/>
                    <w:textAlignment w:val="auto"/>
                    <w:rPr>
                      <w:rFonts w:hint="default" w:ascii="Times New Roman" w:hAnsi="Times New Roman" w:eastAsia="宋体" w:cs="Times New Roman"/>
                      <w:color w:val="FF0000"/>
                      <w:sz w:val="21"/>
                      <w:szCs w:val="21"/>
                      <w:lang w:val="en-US" w:eastAsia="zh-CN"/>
                    </w:rPr>
                  </w:pPr>
                </w:p>
              </w:tc>
              <w:tc>
                <w:tcPr>
                  <w:tcW w:w="1476" w:type="pct"/>
                  <w:vMerge w:val="continue"/>
                  <w:tcBorders>
                    <w:tl2br w:val="nil"/>
                    <w:tr2bl w:val="nil"/>
                  </w:tcBorders>
                  <w:vAlign w:val="center"/>
                </w:tcPr>
                <w:p w14:paraId="68E2992E">
                  <w:pPr>
                    <w:pStyle w:val="29"/>
                    <w:keepNext w:val="0"/>
                    <w:keepLines w:val="0"/>
                    <w:pageBreakBefore w:val="0"/>
                    <w:widowControl/>
                    <w:kinsoku/>
                    <w:wordWrap/>
                    <w:overflowPunct/>
                    <w:topLinePunct w:val="0"/>
                    <w:autoSpaceDE/>
                    <w:autoSpaceDN/>
                    <w:bidi w:val="0"/>
                    <w:adjustRightInd w:val="0"/>
                    <w:snapToGrid w:val="0"/>
                    <w:spacing w:after="0" w:afterLines="0" w:line="240" w:lineRule="auto"/>
                    <w:jc w:val="center"/>
                    <w:textAlignment w:val="auto"/>
                    <w:rPr>
                      <w:rFonts w:hint="default" w:ascii="Times New Roman" w:hAnsi="Times New Roman" w:eastAsia="宋体" w:cs="Times New Roman"/>
                      <w:color w:val="FF0000"/>
                      <w:sz w:val="21"/>
                      <w:szCs w:val="21"/>
                      <w:lang w:val="en-US" w:eastAsia="zh-CN"/>
                    </w:rPr>
                  </w:pPr>
                </w:p>
              </w:tc>
            </w:tr>
          </w:tbl>
          <w:p w14:paraId="64B72128">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FF0000"/>
                <w:sz w:val="24"/>
                <w:szCs w:val="24"/>
                <w:lang w:val="en-US" w:eastAsia="zh-CN"/>
              </w:rPr>
            </w:pP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环境风险防范</w:t>
            </w:r>
          </w:p>
          <w:p w14:paraId="70D43D2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auto"/>
                <w:sz w:val="24"/>
                <w:szCs w:val="24"/>
                <w:lang w:val="en-US" w:eastAsia="zh-CN"/>
              </w:rPr>
              <w:t>本项目已建立环境风险应急管理体系。项目危废</w:t>
            </w:r>
            <w:r>
              <w:rPr>
                <w:rFonts w:hint="eastAsia" w:ascii="Times New Roman" w:hAnsi="Times New Roman" w:eastAsia="宋体" w:cs="Times New Roman"/>
                <w:color w:val="auto"/>
                <w:sz w:val="24"/>
                <w:szCs w:val="24"/>
                <w:lang w:val="en-US" w:eastAsia="zh-CN"/>
              </w:rPr>
              <w:t>暂存间</w:t>
            </w:r>
            <w:r>
              <w:rPr>
                <w:rFonts w:hint="default" w:ascii="Times New Roman" w:hAnsi="Times New Roman" w:eastAsia="宋体" w:cs="Times New Roman"/>
                <w:color w:val="auto"/>
                <w:sz w:val="24"/>
                <w:szCs w:val="24"/>
                <w:lang w:eastAsia="zh-CN"/>
              </w:rPr>
              <w:t>已落实</w:t>
            </w:r>
            <w:r>
              <w:rPr>
                <w:rFonts w:hint="default" w:ascii="Times New Roman" w:hAnsi="Times New Roman" w:eastAsia="宋体" w:cs="Times New Roman"/>
                <w:color w:val="auto"/>
                <w:sz w:val="24"/>
                <w:szCs w:val="24"/>
                <w:lang w:val="en-US" w:eastAsia="zh-CN"/>
              </w:rPr>
              <w:t>重点防渗，除重点防渗区之外的区域和办公生活区域</w:t>
            </w:r>
            <w:r>
              <w:rPr>
                <w:rFonts w:hint="eastAsia" w:ascii="Times New Roman" w:hAnsi="Times New Roman" w:eastAsia="宋体" w:cs="Times New Roman"/>
                <w:color w:val="auto"/>
                <w:sz w:val="24"/>
                <w:szCs w:val="24"/>
                <w:lang w:val="en-US" w:eastAsia="zh-CN"/>
              </w:rPr>
              <w:t>进行</w:t>
            </w:r>
            <w:r>
              <w:rPr>
                <w:rFonts w:hint="default" w:ascii="Times New Roman" w:hAnsi="Times New Roman" w:eastAsia="宋体" w:cs="Times New Roman"/>
                <w:color w:val="auto"/>
                <w:sz w:val="24"/>
                <w:szCs w:val="24"/>
                <w:lang w:val="en-US" w:eastAsia="zh-CN"/>
              </w:rPr>
              <w:t>一般防渗。企业突发环境事件应急预案</w:t>
            </w:r>
            <w:r>
              <w:rPr>
                <w:rFonts w:hint="eastAsia" w:ascii="Times New Roman" w:hAnsi="Times New Roman" w:eastAsia="宋体" w:cs="Times New Roman"/>
                <w:color w:val="auto"/>
                <w:sz w:val="24"/>
                <w:szCs w:val="24"/>
                <w:lang w:val="en-US" w:eastAsia="zh-CN"/>
              </w:rPr>
              <w:t>已编制并报送黄山市歙县生态环境分局备案（备案号：341021-2025-289-L）</w:t>
            </w:r>
            <w:r>
              <w:rPr>
                <w:rFonts w:hint="default" w:ascii="Times New Roman" w:hAnsi="Times New Roman" w:eastAsia="宋体" w:cs="Times New Roman"/>
                <w:color w:val="auto"/>
                <w:sz w:val="24"/>
                <w:szCs w:val="24"/>
                <w:highlight w:val="none"/>
                <w:lang w:val="en-US" w:eastAsia="zh-CN"/>
              </w:rPr>
              <w:t>，应急物资和设备满足</w:t>
            </w:r>
            <w:r>
              <w:rPr>
                <w:rFonts w:hint="eastAsia" w:ascii="Times New Roman" w:hAnsi="Times New Roman" w:eastAsia="宋体" w:cs="Times New Roman"/>
                <w:color w:val="auto"/>
                <w:sz w:val="24"/>
                <w:szCs w:val="24"/>
                <w:highlight w:val="none"/>
                <w:lang w:val="en-US" w:eastAsia="zh-CN"/>
              </w:rPr>
              <w:t>厂区级突发环境事件</w:t>
            </w:r>
            <w:r>
              <w:rPr>
                <w:rFonts w:hint="default" w:ascii="Times New Roman" w:hAnsi="Times New Roman" w:eastAsia="宋体" w:cs="Times New Roman"/>
                <w:color w:val="auto"/>
                <w:sz w:val="24"/>
                <w:szCs w:val="24"/>
                <w:highlight w:val="none"/>
                <w:lang w:val="en-US" w:eastAsia="zh-CN"/>
              </w:rPr>
              <w:t>应急预案要求，</w:t>
            </w:r>
            <w:r>
              <w:rPr>
                <w:rFonts w:hint="eastAsia" w:ascii="Times New Roman" w:hAnsi="Times New Roman" w:eastAsia="宋体" w:cs="Times New Roman"/>
                <w:color w:val="auto"/>
                <w:sz w:val="24"/>
                <w:szCs w:val="24"/>
                <w:highlight w:val="none"/>
                <w:lang w:val="en-US" w:eastAsia="zh-CN"/>
              </w:rPr>
              <w:t>并</w:t>
            </w:r>
            <w:r>
              <w:rPr>
                <w:rFonts w:hint="default" w:ascii="Times New Roman" w:hAnsi="Times New Roman" w:eastAsia="宋体" w:cs="Times New Roman"/>
                <w:color w:val="auto"/>
                <w:sz w:val="24"/>
                <w:szCs w:val="24"/>
                <w:highlight w:val="none"/>
                <w:lang w:val="en-US" w:eastAsia="zh-CN"/>
              </w:rPr>
              <w:t>定期组织开展环境应急培训和演练</w:t>
            </w:r>
            <w:r>
              <w:rPr>
                <w:rFonts w:hint="eastAsia" w:ascii="Times New Roman" w:hAnsi="Times New Roman" w:eastAsia="宋体" w:cs="Times New Roman"/>
                <w:color w:val="auto"/>
                <w:sz w:val="24"/>
                <w:szCs w:val="24"/>
                <w:highlight w:val="none"/>
                <w:lang w:val="en-US" w:eastAsia="zh-CN"/>
              </w:rPr>
              <w:t>。</w:t>
            </w:r>
          </w:p>
        </w:tc>
      </w:tr>
    </w:tbl>
    <w:p w14:paraId="59EC245C">
      <w:pPr>
        <w:spacing w:after="0" w:afterLines="0" w:line="360" w:lineRule="auto"/>
        <w:rPr>
          <w:rFonts w:eastAsia="仿宋_GB2312"/>
          <w:b/>
          <w:color w:val="FF0000"/>
          <w:sz w:val="21"/>
          <w:szCs w:val="21"/>
        </w:rPr>
        <w:sectPr>
          <w:pgSz w:w="11906" w:h="16838"/>
          <w:pgMar w:top="1440" w:right="1800" w:bottom="1440" w:left="1800" w:header="708" w:footer="708" w:gutter="0"/>
          <w:pgBorders>
            <w:top w:val="none" w:sz="0" w:space="0"/>
            <w:left w:val="none" w:sz="0" w:space="0"/>
            <w:bottom w:val="none" w:sz="0" w:space="0"/>
            <w:right w:val="none" w:sz="0" w:space="0"/>
          </w:pgBorders>
          <w:pgNumType w:fmt="decimal"/>
          <w:cols w:space="720" w:num="1"/>
          <w:docGrid w:linePitch="360" w:charSpace="0"/>
        </w:sectPr>
      </w:pPr>
    </w:p>
    <w:p w14:paraId="66FB1666">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0"/>
        <w:rPr>
          <w:rFonts w:hint="eastAsia" w:ascii="Times New Roman" w:hAnsi="Times New Roman" w:eastAsia="宋体" w:cs="Times New Roman"/>
          <w:b/>
          <w:color w:val="auto"/>
          <w:sz w:val="24"/>
          <w:szCs w:val="24"/>
          <w:lang w:val="en-US" w:eastAsia="zh-CN"/>
        </w:rPr>
      </w:pPr>
      <w:bookmarkStart w:id="24" w:name="_Toc8628"/>
      <w:r>
        <w:rPr>
          <w:rFonts w:hint="default" w:ascii="Times New Roman" w:hAnsi="Times New Roman" w:eastAsia="宋体" w:cs="Times New Roman"/>
          <w:b/>
          <w:color w:val="auto"/>
          <w:sz w:val="24"/>
          <w:szCs w:val="24"/>
        </w:rPr>
        <w:t>表</w:t>
      </w:r>
      <w:r>
        <w:rPr>
          <w:rFonts w:hint="eastAsia" w:ascii="Times New Roman" w:hAnsi="Times New Roman" w:eastAsia="宋体" w:cs="Times New Roman"/>
          <w:b/>
          <w:color w:val="auto"/>
          <w:sz w:val="24"/>
          <w:szCs w:val="24"/>
          <w:lang w:val="en-US" w:eastAsia="zh-CN"/>
        </w:rPr>
        <w:t xml:space="preserve">八  </w:t>
      </w:r>
      <w:r>
        <w:rPr>
          <w:rFonts w:hint="eastAsia" w:ascii="Times New Roman" w:hAnsi="Times New Roman" w:eastAsia="宋体" w:cs="Times New Roman"/>
          <w:b/>
          <w:color w:val="auto"/>
          <w:sz w:val="24"/>
          <w:szCs w:val="24"/>
        </w:rPr>
        <w:t>验收监测</w:t>
      </w:r>
      <w:r>
        <w:rPr>
          <w:rFonts w:hint="eastAsia" w:ascii="Times New Roman" w:hAnsi="Times New Roman" w:eastAsia="宋体" w:cs="Times New Roman"/>
          <w:b/>
          <w:color w:val="auto"/>
          <w:sz w:val="24"/>
          <w:szCs w:val="24"/>
          <w:lang w:val="en-US" w:eastAsia="zh-CN"/>
        </w:rPr>
        <w:t>结论</w:t>
      </w:r>
      <w:bookmarkEnd w:id="24"/>
    </w:p>
    <w:tbl>
      <w:tblPr>
        <w:tblStyle w:val="19"/>
        <w:tblW w:w="8924" w:type="dxa"/>
        <w:jc w:val="center"/>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Layout w:type="fixed"/>
        <w:tblCellMar>
          <w:top w:w="0" w:type="dxa"/>
          <w:left w:w="108" w:type="dxa"/>
          <w:bottom w:w="0" w:type="dxa"/>
          <w:right w:w="108" w:type="dxa"/>
        </w:tblCellMar>
      </w:tblPr>
      <w:tblGrid>
        <w:gridCol w:w="8924"/>
      </w:tblGrid>
      <w:tr w14:paraId="02C671BF">
        <w:tblPrEx>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CellMar>
            <w:top w:w="0" w:type="dxa"/>
            <w:left w:w="108" w:type="dxa"/>
            <w:bottom w:w="0" w:type="dxa"/>
            <w:right w:w="108" w:type="dxa"/>
          </w:tblCellMar>
        </w:tblPrEx>
        <w:trPr>
          <w:trHeight w:val="11450" w:hRule="atLeast"/>
          <w:jc w:val="center"/>
        </w:trPr>
        <w:tc>
          <w:tcPr>
            <w:tcW w:w="8924" w:type="dxa"/>
            <w:tcBorders>
              <w:tl2br w:val="nil"/>
              <w:tr2bl w:val="nil"/>
            </w:tcBorders>
            <w:noWrap w:val="0"/>
            <w:vAlign w:val="top"/>
          </w:tcPr>
          <w:p w14:paraId="610C3693">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textAlignment w:val="auto"/>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一、</w:t>
            </w:r>
            <w:r>
              <w:rPr>
                <w:rFonts w:hint="default" w:ascii="Times New Roman" w:hAnsi="Times New Roman" w:eastAsia="宋体" w:cs="Times New Roman"/>
                <w:b/>
                <w:bCs/>
                <w:color w:val="auto"/>
                <w:sz w:val="24"/>
                <w:szCs w:val="24"/>
              </w:rPr>
              <w:t>验收监测</w:t>
            </w:r>
            <w:r>
              <w:rPr>
                <w:rFonts w:hint="eastAsia" w:ascii="Times New Roman" w:hAnsi="Times New Roman" w:eastAsia="宋体" w:cs="Times New Roman"/>
                <w:b/>
                <w:bCs/>
                <w:color w:val="auto"/>
                <w:sz w:val="24"/>
                <w:szCs w:val="24"/>
                <w:lang w:val="en-US" w:eastAsia="zh-CN"/>
              </w:rPr>
              <w:t>结论</w:t>
            </w:r>
          </w:p>
          <w:p w14:paraId="529258D5">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eastAsia="zh-CN"/>
              </w:rPr>
              <w:t>1、</w:t>
            </w:r>
            <w:r>
              <w:rPr>
                <w:rFonts w:hint="eastAsia" w:ascii="Times New Roman" w:hAnsi="Times New Roman" w:eastAsia="宋体" w:cs="Times New Roman"/>
                <w:b/>
                <w:bCs/>
                <w:color w:val="auto"/>
                <w:sz w:val="24"/>
                <w:szCs w:val="24"/>
                <w:lang w:val="en-US" w:eastAsia="zh-CN"/>
              </w:rPr>
              <w:t>项目概况</w:t>
            </w:r>
          </w:p>
          <w:p w14:paraId="7B849DA4">
            <w:pPr>
              <w:keepNext w:val="0"/>
              <w:keepLines w:val="0"/>
              <w:pageBreakBefore w:val="0"/>
              <w:widowControl/>
              <w:kinsoku/>
              <w:wordWrap/>
              <w:overflowPunct/>
              <w:topLinePunct w:val="0"/>
              <w:autoSpaceDE/>
              <w:autoSpaceDN/>
              <w:bidi w:val="0"/>
              <w:adjustRightInd w:val="0"/>
              <w:snapToGrid w:val="0"/>
              <w:spacing w:after="0" w:afterLines="0" w:line="360" w:lineRule="auto"/>
              <w:ind w:firstLine="480" w:firstLineChars="200"/>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auto"/>
                <w:sz w:val="24"/>
                <w:szCs w:val="24"/>
                <w:lang w:eastAsia="zh-CN"/>
              </w:rPr>
              <w:t>黄山市航瑞新材料有限公司</w:t>
            </w:r>
            <w:r>
              <w:rPr>
                <w:rFonts w:hint="default" w:ascii="Times New Roman" w:hAnsi="Times New Roman" w:eastAsia="宋体" w:cs="Times New Roman"/>
                <w:bCs/>
                <w:color w:val="auto"/>
                <w:sz w:val="24"/>
                <w:szCs w:val="24"/>
                <w:lang w:val="en-US" w:eastAsia="zh-CN"/>
              </w:rPr>
              <w:t>“</w:t>
            </w:r>
            <w:r>
              <w:rPr>
                <w:rFonts w:hint="default" w:ascii="Times New Roman" w:hAnsi="Times New Roman" w:eastAsia="宋体" w:cs="Times New Roman"/>
                <w:color w:val="auto"/>
                <w:sz w:val="24"/>
                <w:szCs w:val="24"/>
                <w:lang w:eastAsia="zh-CN"/>
              </w:rPr>
              <w:t>年产1.2亿平方米PVC保护膜项目</w:t>
            </w:r>
            <w:r>
              <w:rPr>
                <w:rFonts w:hint="default" w:ascii="Times New Roman" w:hAnsi="Times New Roman" w:eastAsia="宋体" w:cs="Times New Roman"/>
                <w:bCs/>
                <w:color w:val="auto"/>
                <w:sz w:val="24"/>
                <w:szCs w:val="24"/>
                <w:lang w:val="en-US" w:eastAsia="zh-CN"/>
              </w:rPr>
              <w:t>”</w:t>
            </w:r>
            <w:r>
              <w:rPr>
                <w:rFonts w:hint="default" w:ascii="Times New Roman" w:hAnsi="Times New Roman" w:eastAsia="宋体" w:cs="Times New Roman"/>
                <w:color w:val="auto"/>
                <w:sz w:val="24"/>
                <w:szCs w:val="24"/>
                <w:lang w:val="en-US" w:eastAsia="zh-CN"/>
              </w:rPr>
              <w:t>位于</w:t>
            </w:r>
            <w:r>
              <w:rPr>
                <w:rFonts w:hint="default" w:ascii="Times New Roman" w:hAnsi="Times New Roman" w:eastAsia="宋体" w:cs="Times New Roman"/>
                <w:color w:val="auto"/>
                <w:sz w:val="24"/>
                <w:szCs w:val="24"/>
                <w:lang w:eastAsia="zh-CN"/>
              </w:rPr>
              <w:t>安徽省黄山市歙县经济开发区</w:t>
            </w:r>
            <w:r>
              <w:rPr>
                <w:rFonts w:hint="default" w:ascii="Times New Roman" w:hAnsi="Times New Roman" w:eastAsia="宋体" w:cs="Times New Roman"/>
                <w:color w:val="auto"/>
                <w:sz w:val="24"/>
                <w:szCs w:val="24"/>
                <w:lang w:val="en-US" w:eastAsia="zh-CN"/>
              </w:rPr>
              <w:t>，本项目（现阶段）于202</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年</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月</w:t>
            </w:r>
            <w:r>
              <w:rPr>
                <w:rFonts w:hint="eastAsia" w:ascii="Times New Roman" w:hAnsi="Times New Roman" w:eastAsia="宋体" w:cs="Times New Roman"/>
                <w:color w:val="auto"/>
                <w:sz w:val="24"/>
                <w:szCs w:val="24"/>
                <w:lang w:val="en-US" w:eastAsia="zh-CN"/>
              </w:rPr>
              <w:t>环保设施</w:t>
            </w:r>
            <w:r>
              <w:rPr>
                <w:rFonts w:hint="default" w:ascii="Times New Roman" w:hAnsi="Times New Roman" w:eastAsia="宋体" w:cs="Times New Roman"/>
                <w:color w:val="auto"/>
                <w:sz w:val="24"/>
                <w:szCs w:val="24"/>
                <w:lang w:val="en-US" w:eastAsia="zh-CN"/>
              </w:rPr>
              <w:t>竣工。2025年4月11日取得了固定污染源登记回执，登记编号为91341021MA2WGQBLX0001Z</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；同年9月17日《黄山市航瑞新材料有限公司突发环境事件应急预案》取得备案（备案号：341021-2025-289-L）。</w:t>
            </w:r>
          </w:p>
          <w:p w14:paraId="7079F583">
            <w:pPr>
              <w:keepNext w:val="0"/>
              <w:keepLines w:val="0"/>
              <w:pageBreakBefore w:val="0"/>
              <w:widowControl/>
              <w:kinsoku/>
              <w:wordWrap/>
              <w:overflowPunct/>
              <w:topLinePunct w:val="0"/>
              <w:autoSpaceDE/>
              <w:autoSpaceDN/>
              <w:bidi w:val="0"/>
              <w:adjustRightInd w:val="0"/>
              <w:snapToGrid w:val="0"/>
              <w:spacing w:after="0" w:afterLines="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2026年1月，</w:t>
            </w:r>
            <w:r>
              <w:rPr>
                <w:rFonts w:hint="default" w:ascii="Times New Roman" w:hAnsi="Times New Roman" w:eastAsia="宋体" w:cs="Times New Roman"/>
                <w:color w:val="auto"/>
                <w:sz w:val="24"/>
                <w:szCs w:val="24"/>
                <w:lang w:eastAsia="zh-CN"/>
              </w:rPr>
              <w:t>黄山市航瑞新材料有限公司</w:t>
            </w:r>
            <w:r>
              <w:rPr>
                <w:rFonts w:hint="default" w:ascii="Times New Roman" w:hAnsi="Times New Roman" w:eastAsia="宋体" w:cs="Times New Roman"/>
                <w:color w:val="auto"/>
                <w:sz w:val="24"/>
                <w:szCs w:val="24"/>
                <w:lang w:val="en-US" w:eastAsia="zh-CN"/>
              </w:rPr>
              <w:t>委托黄山华安测检测</w:t>
            </w:r>
            <w:r>
              <w:rPr>
                <w:rFonts w:hint="default" w:ascii="Times New Roman" w:hAnsi="Times New Roman" w:eastAsia="宋体" w:cs="Times New Roman"/>
                <w:color w:val="auto"/>
                <w:sz w:val="24"/>
                <w:szCs w:val="24"/>
              </w:rPr>
              <w:t>技术有限公司</w:t>
            </w:r>
            <w:r>
              <w:rPr>
                <w:rFonts w:hint="default" w:ascii="Times New Roman" w:hAnsi="Times New Roman" w:eastAsia="宋体" w:cs="Times New Roman"/>
                <w:color w:val="auto"/>
                <w:sz w:val="24"/>
                <w:szCs w:val="24"/>
                <w:lang w:val="en-US" w:eastAsia="zh-CN"/>
              </w:rPr>
              <w:t>进行建设项目竣工环境保护验收监测，</w:t>
            </w:r>
            <w:r>
              <w:rPr>
                <w:rFonts w:hint="default" w:ascii="Times New Roman" w:hAnsi="Times New Roman" w:eastAsia="宋体" w:cs="Times New Roman"/>
                <w:color w:val="auto"/>
                <w:sz w:val="24"/>
                <w:szCs w:val="24"/>
                <w:lang w:eastAsia="zh-CN"/>
              </w:rPr>
              <w:t>委托</w:t>
            </w:r>
            <w:r>
              <w:rPr>
                <w:rFonts w:hint="default" w:ascii="Times New Roman" w:hAnsi="Times New Roman" w:eastAsia="宋体" w:cs="Times New Roman"/>
                <w:color w:val="auto"/>
                <w:sz w:val="24"/>
                <w:szCs w:val="24"/>
                <w:lang w:val="en-US" w:eastAsia="zh-CN"/>
              </w:rPr>
              <w:t>黄山华泽环境科技有限公司</w:t>
            </w:r>
            <w:r>
              <w:rPr>
                <w:rFonts w:hint="default" w:ascii="Times New Roman" w:hAnsi="Times New Roman" w:eastAsia="宋体" w:cs="Times New Roman"/>
                <w:bCs/>
                <w:color w:val="auto"/>
                <w:kern w:val="0"/>
                <w:sz w:val="24"/>
                <w:szCs w:val="24"/>
                <w:lang w:val="en-US" w:eastAsia="zh-CN" w:bidi="ar-SA"/>
              </w:rPr>
              <w:t>开展本项目竣工环境保护验收监测报告表编制工作。</w:t>
            </w:r>
            <w:r>
              <w:rPr>
                <w:rFonts w:hint="default" w:ascii="Times New Roman" w:hAnsi="Times New Roman" w:eastAsia="宋体" w:cs="Times New Roman"/>
                <w:color w:val="auto"/>
                <w:sz w:val="24"/>
                <w:szCs w:val="24"/>
                <w:lang w:val="en-US" w:eastAsia="zh-CN"/>
              </w:rPr>
              <w:t>根据现场勘查，环保设施基本按照环境影响评价的技术要求，进行了设计和施工，做到了环保设施与主体工程同时设计，同时施工，同时投入运行，并进行验收监测。</w:t>
            </w:r>
          </w:p>
          <w:p w14:paraId="01B3DE7C">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lang w:eastAsia="zh-CN"/>
              </w:rPr>
              <w:t>、</w:t>
            </w:r>
            <w:r>
              <w:rPr>
                <w:rFonts w:hint="eastAsia" w:ascii="Times New Roman" w:hAnsi="Times New Roman" w:eastAsia="宋体" w:cs="Times New Roman"/>
                <w:b/>
                <w:bCs/>
                <w:color w:val="auto"/>
                <w:sz w:val="24"/>
                <w:szCs w:val="24"/>
                <w:lang w:val="en-US" w:eastAsia="zh-CN"/>
              </w:rPr>
              <w:t>污染物排放监测结论</w:t>
            </w:r>
          </w:p>
          <w:p w14:paraId="4E7D702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（1）</w:t>
            </w:r>
            <w:r>
              <w:rPr>
                <w:rFonts w:hint="eastAsia" w:ascii="Times New Roman" w:hAnsi="Times New Roman" w:eastAsia="宋体" w:cs="Times New Roman"/>
                <w:color w:val="auto"/>
                <w:sz w:val="24"/>
                <w:szCs w:val="24"/>
                <w:lang w:val="en-US" w:eastAsia="zh-CN"/>
              </w:rPr>
              <w:t>废气</w:t>
            </w:r>
          </w:p>
          <w:p w14:paraId="633C6150">
            <w:pPr>
              <w:keepNext w:val="0"/>
              <w:keepLines w:val="0"/>
              <w:pageBreakBefore w:val="0"/>
              <w:widowControl/>
              <w:kinsoku/>
              <w:wordWrap w:val="0"/>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项目</w:t>
            </w:r>
            <w:r>
              <w:rPr>
                <w:rFonts w:hint="eastAsia" w:ascii="Times New Roman" w:hAnsi="Times New Roman" w:eastAsia="宋体" w:cs="Times New Roman"/>
                <w:color w:val="auto"/>
                <w:sz w:val="24"/>
                <w:szCs w:val="24"/>
                <w:lang w:val="en-US" w:eastAsia="zh-CN"/>
              </w:rPr>
              <w:t>（现阶段）</w:t>
            </w:r>
            <w:r>
              <w:rPr>
                <w:rFonts w:hint="default" w:ascii="Times New Roman" w:hAnsi="Times New Roman" w:eastAsia="宋体" w:cs="Times New Roman"/>
                <w:color w:val="auto"/>
                <w:sz w:val="24"/>
                <w:szCs w:val="24"/>
                <w:lang w:eastAsia="zh-CN"/>
              </w:rPr>
              <w:t>营运期</w:t>
            </w:r>
            <w:r>
              <w:rPr>
                <w:rFonts w:hint="default" w:ascii="Times New Roman" w:hAnsi="Times New Roman" w:eastAsia="宋体" w:cs="Times New Roman"/>
                <w:color w:val="auto"/>
                <w:sz w:val="24"/>
                <w:szCs w:val="24"/>
                <w:lang w:val="en-US" w:eastAsia="zh-CN"/>
              </w:rPr>
              <w:t>配胶室、</w:t>
            </w:r>
            <w:r>
              <w:rPr>
                <w:rFonts w:hint="default" w:ascii="Times New Roman" w:hAnsi="Times New Roman" w:eastAsia="宋体" w:cs="Times New Roman"/>
                <w:color w:val="auto"/>
                <w:sz w:val="24"/>
                <w:szCs w:val="24"/>
                <w:lang w:eastAsia="zh-CN"/>
              </w:rPr>
              <w:t>危废暂存间</w:t>
            </w:r>
            <w:r>
              <w:rPr>
                <w:rFonts w:hint="default" w:ascii="Times New Roman" w:hAnsi="Times New Roman" w:eastAsia="宋体" w:cs="Times New Roman"/>
                <w:color w:val="auto"/>
                <w:sz w:val="24"/>
                <w:szCs w:val="24"/>
                <w:lang w:val="en-US" w:eastAsia="zh-CN"/>
              </w:rPr>
              <w:t>废气采用负压收集，涂布及印刷生产线产生废气经集气罩收集，烘干</w:t>
            </w:r>
            <w:r>
              <w:rPr>
                <w:rFonts w:hint="eastAsia" w:ascii="Times New Roman" w:hAnsi="Times New Roman" w:eastAsia="宋体" w:cs="Times New Roman"/>
                <w:color w:val="auto"/>
                <w:sz w:val="24"/>
                <w:szCs w:val="24"/>
                <w:lang w:val="en-US" w:eastAsia="zh-CN"/>
              </w:rPr>
              <w:t>废气经管道负压收集，各类</w:t>
            </w:r>
            <w:r>
              <w:rPr>
                <w:rFonts w:hint="default" w:ascii="Times New Roman" w:hAnsi="Times New Roman" w:eastAsia="宋体" w:cs="Times New Roman"/>
                <w:color w:val="auto"/>
                <w:sz w:val="24"/>
                <w:szCs w:val="24"/>
                <w:lang w:val="en-US" w:eastAsia="zh-CN"/>
              </w:rPr>
              <w:t>废气经集气总管进入1套</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b w:val="0"/>
                <w:bCs w:val="0"/>
                <w:color w:val="auto"/>
                <w:spacing w:val="0"/>
                <w:position w:val="0"/>
                <w:sz w:val="24"/>
                <w:szCs w:val="24"/>
                <w:lang w:val="en-US" w:eastAsia="zh-CN"/>
              </w:rPr>
              <w:t>气动旋流净化塔+干式过滤箱+活性炭吸附浓缩+催化燃烧</w:t>
            </w:r>
            <w:r>
              <w:rPr>
                <w:rFonts w:hint="default" w:ascii="Times New Roman" w:hAnsi="Times New Roman" w:eastAsia="宋体" w:cs="Times New Roman"/>
                <w:color w:val="auto"/>
                <w:sz w:val="24"/>
                <w:szCs w:val="24"/>
                <w:lang w:val="en-US" w:eastAsia="zh-CN"/>
              </w:rPr>
              <w:t>装置</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处理后通过1根15m高排气筒排放。</w:t>
            </w:r>
          </w:p>
          <w:p w14:paraId="13547DE4">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FF0000"/>
                <w:kern w:val="3"/>
                <w:sz w:val="24"/>
                <w:szCs w:val="24"/>
              </w:rPr>
            </w:pPr>
            <w:r>
              <w:rPr>
                <w:rFonts w:hint="eastAsia" w:ascii="Times New Roman" w:hAnsi="Times New Roman" w:eastAsia="宋体" w:cs="Times New Roman"/>
                <w:color w:val="auto"/>
                <w:sz w:val="24"/>
                <w:szCs w:val="24"/>
                <w:lang w:val="en-US" w:eastAsia="zh-CN"/>
              </w:rPr>
              <w:t>验收监测期间，</w:t>
            </w:r>
            <w:r>
              <w:rPr>
                <w:rFonts w:hint="default" w:ascii="Times New Roman" w:hAnsi="Times New Roman" w:eastAsia="宋体" w:cs="Times New Roman"/>
                <w:color w:val="auto"/>
                <w:sz w:val="24"/>
                <w:szCs w:val="24"/>
                <w:lang w:eastAsia="zh-CN"/>
              </w:rPr>
              <w:t>项目</w:t>
            </w:r>
            <w:r>
              <w:rPr>
                <w:rFonts w:hint="eastAsia" w:ascii="Times New Roman" w:hAnsi="Times New Roman" w:eastAsia="宋体" w:cs="Times New Roman"/>
                <w:color w:val="auto"/>
                <w:sz w:val="24"/>
                <w:szCs w:val="24"/>
                <w:lang w:val="en-US" w:eastAsia="zh-CN"/>
              </w:rPr>
              <w:t>DA001非甲烷总烃最高浓度为55.4 mg/m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，最高排放速率为1.17kg/h；甲醇最高浓度为36.3 mg/m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，最高排放速率为0.691kg/h均</w:t>
            </w:r>
            <w:r>
              <w:rPr>
                <w:rFonts w:hint="default" w:ascii="Times New Roman" w:hAnsi="Times New Roman" w:eastAsia="宋体" w:cs="Times New Roman"/>
                <w:color w:val="auto"/>
                <w:sz w:val="24"/>
                <w:szCs w:val="24"/>
                <w:lang w:val="en-US" w:eastAsia="zh-CN"/>
              </w:rPr>
              <w:t>满足《大气污染物综合排放标准》</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GB16297-1996</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表2中的二级排放标准</w:t>
            </w:r>
            <w:r>
              <w:rPr>
                <w:rFonts w:hint="default" w:ascii="Times New Roman" w:hAnsi="Times New Roman" w:eastAsia="宋体" w:cs="Times New Roman"/>
                <w:color w:val="auto"/>
                <w:sz w:val="24"/>
                <w:szCs w:val="24"/>
              </w:rPr>
              <w:t>。厂界非甲烷总烃最高浓度为</w:t>
            </w:r>
            <w:r>
              <w:rPr>
                <w:rFonts w:hint="eastAsia" w:ascii="Times New Roman" w:hAnsi="Times New Roman" w:eastAsia="宋体" w:cs="Times New Roman"/>
                <w:color w:val="auto"/>
                <w:sz w:val="24"/>
                <w:szCs w:val="24"/>
                <w:lang w:val="en-US" w:eastAsia="zh-CN"/>
              </w:rPr>
              <w:t xml:space="preserve">0.72 </w:t>
            </w:r>
            <w:r>
              <w:rPr>
                <w:rFonts w:hint="default" w:ascii="Times New Roman" w:hAnsi="Times New Roman" w:eastAsia="宋体" w:cs="Times New Roman"/>
                <w:color w:val="auto"/>
                <w:sz w:val="24"/>
                <w:szCs w:val="24"/>
              </w:rPr>
              <w:t>mg/m</w:t>
            </w:r>
            <w:r>
              <w:rPr>
                <w:rFonts w:hint="default" w:ascii="Times New Roman" w:hAnsi="Times New Roman" w:eastAsia="宋体" w:cs="Times New Roman"/>
                <w:color w:val="auto"/>
                <w:sz w:val="24"/>
                <w:szCs w:val="24"/>
                <w:vertAlign w:val="superscript"/>
              </w:rPr>
              <w:t>3</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甲醇最高浓度为0.6 mg/m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，污染物均</w:t>
            </w:r>
            <w:r>
              <w:rPr>
                <w:rFonts w:hint="default" w:ascii="Times New Roman" w:hAnsi="Times New Roman" w:eastAsia="宋体" w:cs="Times New Roman"/>
                <w:color w:val="auto"/>
                <w:sz w:val="24"/>
                <w:szCs w:val="24"/>
              </w:rPr>
              <w:t>满足《大气污染物综合排放标准》（GB16297－1996）</w:t>
            </w:r>
            <w:r>
              <w:rPr>
                <w:rFonts w:hint="eastAsia" w:ascii="Times New Roman" w:hAnsi="Times New Roman" w:eastAsia="宋体" w:cs="Times New Roman"/>
                <w:color w:val="auto"/>
                <w:sz w:val="24"/>
                <w:szCs w:val="24"/>
                <w:lang w:val="en-US" w:eastAsia="zh-CN"/>
              </w:rPr>
              <w:t>中</w:t>
            </w:r>
            <w:r>
              <w:rPr>
                <w:rFonts w:hint="default" w:ascii="Times New Roman" w:hAnsi="Times New Roman" w:eastAsia="宋体" w:cs="Times New Roman"/>
                <w:color w:val="auto"/>
                <w:sz w:val="24"/>
                <w:szCs w:val="24"/>
              </w:rPr>
              <w:t>无组织排放浓度限值</w:t>
            </w:r>
            <w:r>
              <w:rPr>
                <w:rFonts w:hint="eastAsia" w:ascii="Times New Roman" w:hAnsi="Times New Roman" w:eastAsia="宋体" w:cs="Times New Roman"/>
                <w:color w:val="auto"/>
                <w:sz w:val="24"/>
                <w:szCs w:val="24"/>
                <w:lang w:val="en-US" w:eastAsia="zh-CN"/>
              </w:rPr>
              <w:t>要求；</w:t>
            </w:r>
            <w:r>
              <w:rPr>
                <w:rFonts w:hint="default" w:ascii="Times New Roman" w:hAnsi="Times New Roman" w:eastAsia="宋体" w:cs="Times New Roman"/>
                <w:color w:val="auto"/>
                <w:sz w:val="24"/>
                <w:szCs w:val="24"/>
              </w:rPr>
              <w:t>厂区内非甲烷总烃最高浓度为</w:t>
            </w:r>
            <w:r>
              <w:rPr>
                <w:rFonts w:hint="eastAsia" w:ascii="Times New Roman" w:hAnsi="Times New Roman" w:eastAsia="宋体" w:cs="Times New Roman"/>
                <w:color w:val="auto"/>
                <w:sz w:val="24"/>
                <w:szCs w:val="24"/>
                <w:lang w:val="en-US" w:eastAsia="zh-CN"/>
              </w:rPr>
              <w:t xml:space="preserve">0.87 </w:t>
            </w:r>
            <w:r>
              <w:rPr>
                <w:rFonts w:hint="default" w:ascii="Times New Roman" w:hAnsi="Times New Roman" w:eastAsia="宋体" w:cs="Times New Roman"/>
                <w:color w:val="auto"/>
                <w:sz w:val="24"/>
                <w:szCs w:val="24"/>
              </w:rPr>
              <w:t>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，满足《挥发性有机物无组织排放标准》</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GB37822-2019</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附录A中</w:t>
            </w:r>
            <w:r>
              <w:rPr>
                <w:rFonts w:hint="eastAsia" w:ascii="Times New Roman" w:hAnsi="Times New Roman" w:eastAsia="宋体" w:cs="Times New Roman"/>
                <w:color w:val="auto"/>
                <w:sz w:val="24"/>
                <w:szCs w:val="24"/>
                <w:lang w:val="en-US" w:eastAsia="zh-CN"/>
              </w:rPr>
              <w:t>无组织排放</w:t>
            </w:r>
            <w:r>
              <w:rPr>
                <w:rFonts w:hint="default" w:ascii="Times New Roman" w:hAnsi="Times New Roman" w:eastAsia="宋体" w:cs="Times New Roman"/>
                <w:color w:val="auto"/>
                <w:sz w:val="24"/>
                <w:szCs w:val="24"/>
              </w:rPr>
              <w:t>标准</w:t>
            </w:r>
            <w:r>
              <w:rPr>
                <w:rFonts w:hint="eastAsia" w:ascii="Times New Roman" w:hAnsi="Times New Roman" w:eastAsia="宋体" w:cs="Times New Roman"/>
                <w:color w:val="auto"/>
                <w:sz w:val="24"/>
                <w:szCs w:val="24"/>
                <w:lang w:val="en-US" w:eastAsia="zh-CN"/>
              </w:rPr>
              <w:t>要求</w:t>
            </w:r>
            <w:r>
              <w:rPr>
                <w:rFonts w:hint="default" w:ascii="Times New Roman" w:hAnsi="Times New Roman" w:eastAsia="宋体" w:cs="Times New Roman"/>
                <w:color w:val="auto"/>
                <w:kern w:val="3"/>
                <w:sz w:val="24"/>
                <w:szCs w:val="24"/>
              </w:rPr>
              <w:t>。</w:t>
            </w:r>
          </w:p>
          <w:p w14:paraId="5B2ADDD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废水</w:t>
            </w:r>
          </w:p>
          <w:p w14:paraId="04BAF32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kern w:val="3"/>
                <w:sz w:val="24"/>
                <w:szCs w:val="24"/>
                <w:lang w:eastAsia="zh-CN"/>
              </w:rPr>
            </w:pPr>
            <w:r>
              <w:rPr>
                <w:rFonts w:hint="default" w:ascii="Times New Roman" w:hAnsi="Times New Roman" w:eastAsia="宋体" w:cs="Times New Roman"/>
                <w:color w:val="auto"/>
                <w:sz w:val="24"/>
                <w:szCs w:val="24"/>
                <w:lang w:val="en-US" w:eastAsia="zh-CN"/>
              </w:rPr>
              <w:t>项目</w:t>
            </w:r>
            <w:r>
              <w:rPr>
                <w:rFonts w:hint="eastAsia" w:ascii="Times New Roman" w:hAnsi="Times New Roman" w:eastAsia="宋体" w:cs="Times New Roman"/>
                <w:color w:val="auto"/>
                <w:sz w:val="24"/>
                <w:szCs w:val="24"/>
                <w:lang w:val="en-US" w:eastAsia="zh-CN"/>
              </w:rPr>
              <w:t>（现阶段）</w:t>
            </w:r>
            <w:r>
              <w:rPr>
                <w:rFonts w:hint="default" w:ascii="Times New Roman" w:hAnsi="Times New Roman" w:eastAsia="宋体" w:cs="Times New Roman"/>
                <w:color w:val="auto"/>
                <w:sz w:val="24"/>
                <w:szCs w:val="24"/>
              </w:rPr>
              <w:t>废水</w:t>
            </w:r>
            <w:r>
              <w:rPr>
                <w:rFonts w:hint="eastAsia" w:ascii="Times New Roman" w:hAnsi="Times New Roman" w:eastAsia="宋体" w:cs="Times New Roman"/>
                <w:color w:val="auto"/>
                <w:sz w:val="24"/>
                <w:szCs w:val="24"/>
                <w:lang w:val="en-US" w:eastAsia="zh-CN"/>
              </w:rPr>
              <w:t>仅</w:t>
            </w:r>
            <w:r>
              <w:rPr>
                <w:rFonts w:hint="default" w:ascii="Times New Roman" w:hAnsi="Times New Roman" w:eastAsia="宋体" w:cs="Times New Roman"/>
                <w:color w:val="auto"/>
                <w:sz w:val="24"/>
                <w:szCs w:val="24"/>
                <w:lang w:eastAsia="zh-CN"/>
              </w:rPr>
              <w:t>为</w:t>
            </w:r>
            <w:r>
              <w:rPr>
                <w:rFonts w:hint="default" w:ascii="Times New Roman" w:hAnsi="Times New Roman" w:eastAsia="宋体" w:cs="Times New Roman"/>
                <w:color w:val="auto"/>
                <w:sz w:val="24"/>
                <w:szCs w:val="24"/>
              </w:rPr>
              <w:t>生活污水</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验收监测结果表明：</w:t>
            </w:r>
            <w:r>
              <w:rPr>
                <w:rFonts w:hint="default" w:ascii="Times New Roman" w:hAnsi="Times New Roman" w:eastAsia="宋体" w:cs="Times New Roman"/>
                <w:color w:val="auto"/>
                <w:kern w:val="3"/>
                <w:sz w:val="24"/>
                <w:szCs w:val="24"/>
              </w:rPr>
              <w:t>生活污水经歙县循环经济园区污水处理厂处理达到GB8978-1996《污水综合排放标准》表4中的三级排放标准，</w:t>
            </w:r>
            <w:r>
              <w:rPr>
                <w:rFonts w:hint="eastAsia" w:ascii="Times New Roman" w:hAnsi="Times New Roman" w:eastAsia="宋体" w:cs="Times New Roman"/>
                <w:color w:val="auto"/>
                <w:kern w:val="3"/>
                <w:sz w:val="24"/>
                <w:szCs w:val="24"/>
                <w:lang w:val="en-US" w:eastAsia="zh-CN"/>
              </w:rPr>
              <w:t>后</w:t>
            </w:r>
            <w:r>
              <w:rPr>
                <w:rFonts w:hint="default" w:ascii="Times New Roman" w:hAnsi="Times New Roman" w:eastAsia="宋体" w:cs="Times New Roman"/>
                <w:color w:val="auto"/>
                <w:kern w:val="3"/>
                <w:sz w:val="24"/>
                <w:szCs w:val="24"/>
              </w:rPr>
              <w:t>由市政污水管网进入歙县污水处理厂处理</w:t>
            </w:r>
            <w:r>
              <w:rPr>
                <w:rFonts w:hint="eastAsia" w:ascii="Times New Roman" w:hAnsi="Times New Roman" w:eastAsia="宋体" w:cs="Times New Roman"/>
                <w:color w:val="auto"/>
                <w:kern w:val="3"/>
                <w:sz w:val="24"/>
                <w:szCs w:val="24"/>
                <w:lang w:val="en-US" w:eastAsia="zh-CN"/>
              </w:rPr>
              <w:t>能够</w:t>
            </w:r>
            <w:r>
              <w:rPr>
                <w:rFonts w:hint="default" w:ascii="Times New Roman" w:hAnsi="Times New Roman" w:eastAsia="宋体" w:cs="Times New Roman"/>
                <w:color w:val="auto"/>
                <w:kern w:val="3"/>
                <w:sz w:val="24"/>
                <w:szCs w:val="24"/>
              </w:rPr>
              <w:t>达到GB18918-2002《城镇污水处理厂污染物排放标准》一级标准A标准</w:t>
            </w:r>
            <w:r>
              <w:rPr>
                <w:rFonts w:hint="eastAsia" w:ascii="Times New Roman" w:hAnsi="Times New Roman" w:eastAsia="宋体" w:cs="Times New Roman"/>
                <w:color w:val="auto"/>
                <w:kern w:val="3"/>
                <w:sz w:val="24"/>
                <w:szCs w:val="24"/>
                <w:lang w:eastAsia="zh-CN"/>
              </w:rPr>
              <w:t>。</w:t>
            </w:r>
          </w:p>
          <w:p w14:paraId="68FD1F7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）噪声</w:t>
            </w:r>
          </w:p>
          <w:p w14:paraId="6665F1D9">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FF0000"/>
                <w:sz w:val="24"/>
                <w:szCs w:val="24"/>
                <w:lang w:eastAsia="zh-CN"/>
              </w:rPr>
            </w:pPr>
            <w:r>
              <w:rPr>
                <w:rFonts w:hint="default" w:ascii="Times New Roman" w:hAnsi="Times New Roman" w:eastAsia="宋体" w:cs="Times New Roman"/>
                <w:color w:val="auto"/>
                <w:sz w:val="24"/>
                <w:szCs w:val="24"/>
                <w:lang w:val="en-US" w:eastAsia="zh-CN"/>
              </w:rPr>
              <w:t>项目</w:t>
            </w:r>
            <w:r>
              <w:rPr>
                <w:rFonts w:hint="eastAsia" w:ascii="Times New Roman" w:hAnsi="Times New Roman" w:eastAsia="宋体" w:cs="Times New Roman"/>
                <w:color w:val="auto"/>
                <w:sz w:val="24"/>
                <w:szCs w:val="24"/>
                <w:lang w:val="en-US" w:eastAsia="zh-CN"/>
              </w:rPr>
              <w:t>夜间不生产，</w:t>
            </w:r>
            <w:r>
              <w:rPr>
                <w:rFonts w:hint="default" w:ascii="Times New Roman" w:hAnsi="Times New Roman" w:eastAsia="宋体" w:cs="Times New Roman"/>
                <w:color w:val="auto"/>
                <w:sz w:val="24"/>
                <w:szCs w:val="24"/>
                <w:lang w:val="en-US" w:eastAsia="zh-CN"/>
              </w:rPr>
              <w:t>噪声源主要来自</w:t>
            </w:r>
            <w:r>
              <w:rPr>
                <w:rFonts w:hint="eastAsia" w:ascii="Times New Roman" w:hAnsi="Times New Roman" w:eastAsia="宋体" w:cs="Times New Roman"/>
                <w:color w:val="auto"/>
                <w:sz w:val="24"/>
                <w:szCs w:val="24"/>
                <w:lang w:val="en-US" w:eastAsia="zh-CN"/>
              </w:rPr>
              <w:t>厂房内生产设备及各类泵、风机运行时产生的噪声</w:t>
            </w:r>
            <w:r>
              <w:rPr>
                <w:rFonts w:hint="default" w:ascii="Times New Roman" w:hAnsi="Times New Roman" w:eastAsia="宋体" w:cs="Times New Roman"/>
                <w:color w:val="auto"/>
                <w:sz w:val="24"/>
                <w:szCs w:val="24"/>
                <w:lang w:val="en-US" w:eastAsia="zh-CN"/>
              </w:rPr>
              <w:t>，由检测数据可知，</w:t>
            </w:r>
            <w:r>
              <w:rPr>
                <w:rFonts w:hint="eastAsia" w:ascii="Times New Roman" w:hAnsi="Times New Roman" w:eastAsia="宋体" w:cs="Times New Roman"/>
                <w:color w:val="auto"/>
                <w:sz w:val="24"/>
                <w:szCs w:val="24"/>
                <w:lang w:val="en-US" w:eastAsia="zh-CN"/>
              </w:rPr>
              <w:t>现阶段</w:t>
            </w:r>
            <w:r>
              <w:rPr>
                <w:rFonts w:hint="default" w:ascii="Times New Roman" w:hAnsi="Times New Roman" w:eastAsia="宋体" w:cs="Times New Roman"/>
                <w:color w:val="auto"/>
                <w:sz w:val="24"/>
                <w:szCs w:val="24"/>
              </w:rPr>
              <w:t>厂界</w:t>
            </w:r>
            <w:r>
              <w:rPr>
                <w:rFonts w:hint="eastAsia" w:ascii="Times New Roman" w:hAnsi="Times New Roman" w:eastAsia="宋体" w:cs="Times New Roman"/>
                <w:color w:val="auto"/>
                <w:sz w:val="24"/>
                <w:szCs w:val="24"/>
                <w:lang w:val="en-US" w:eastAsia="zh-CN"/>
              </w:rPr>
              <w:t>昼间噪声最高62.6 dB（A），</w:t>
            </w:r>
            <w:r>
              <w:rPr>
                <w:rFonts w:hint="default" w:ascii="Times New Roman" w:hAnsi="Times New Roman" w:eastAsia="宋体" w:cs="Times New Roman"/>
                <w:color w:val="auto"/>
                <w:sz w:val="24"/>
                <w:szCs w:val="24"/>
                <w:lang w:eastAsia="zh-CN"/>
              </w:rPr>
              <w:t>排放</w:t>
            </w:r>
            <w:r>
              <w:rPr>
                <w:rFonts w:hint="eastAsia" w:ascii="Times New Roman" w:hAnsi="Times New Roman" w:eastAsia="宋体" w:cs="Times New Roman"/>
                <w:color w:val="auto"/>
                <w:sz w:val="24"/>
                <w:szCs w:val="24"/>
                <w:lang w:val="en-US" w:eastAsia="zh-CN"/>
              </w:rPr>
              <w:t>满足</w:t>
            </w:r>
            <w:r>
              <w:rPr>
                <w:rFonts w:hint="default" w:ascii="Times New Roman" w:hAnsi="Times New Roman" w:eastAsia="宋体" w:cs="Times New Roman"/>
                <w:color w:val="auto"/>
                <w:sz w:val="24"/>
                <w:szCs w:val="24"/>
              </w:rPr>
              <w:t>《工业企业厂界环境噪声排放标准》（GB12348-2008）</w:t>
            </w:r>
            <w:r>
              <w:rPr>
                <w:rFonts w:hint="default" w:ascii="Times New Roman" w:hAnsi="Times New Roman" w:eastAsia="宋体" w:cs="Times New Roman"/>
                <w:color w:val="auto"/>
                <w:sz w:val="24"/>
                <w:szCs w:val="24"/>
                <w:lang w:eastAsia="zh-CN"/>
              </w:rPr>
              <w:t>中的</w:t>
            </w:r>
            <w:r>
              <w:rPr>
                <w:rFonts w:hint="default" w:ascii="Times New Roman" w:hAnsi="Times New Roman" w:eastAsia="宋体" w:cs="Times New Roman"/>
                <w:color w:val="auto"/>
                <w:sz w:val="24"/>
                <w:szCs w:val="24"/>
              </w:rPr>
              <w:t>3类标准</w:t>
            </w:r>
            <w:r>
              <w:rPr>
                <w:rFonts w:hint="default" w:ascii="Times New Roman" w:hAnsi="Times New Roman" w:eastAsia="宋体" w:cs="Times New Roman"/>
                <w:color w:val="auto"/>
                <w:sz w:val="24"/>
                <w:szCs w:val="24"/>
                <w:lang w:eastAsia="zh-CN"/>
              </w:rPr>
              <w:t>。</w:t>
            </w:r>
          </w:p>
          <w:p w14:paraId="278AD8C0">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eastAsia="zh-CN"/>
              </w:rPr>
              <w:t>固废</w:t>
            </w:r>
          </w:p>
          <w:p w14:paraId="5B39729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highlight w:val="none"/>
                <w:lang w:val="en-US" w:eastAsia="zh-CN"/>
              </w:rPr>
              <w:t>项目产生的固废主要有生活垃圾；一般固废：废边角料；危险废物：废原料包装桶、废抹布、废胶、废过滤介质、废催化剂以及废活性炭。</w:t>
            </w:r>
          </w:p>
          <w:p w14:paraId="61B025F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生活垃圾：由环卫部门统一清运。</w:t>
            </w:r>
          </w:p>
          <w:p w14:paraId="2000DEF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废边角料：经分类收集后外售。</w:t>
            </w:r>
          </w:p>
          <w:p w14:paraId="452E1070">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危险废物：项目现阶段产生的危险废物</w:t>
            </w:r>
            <w:r>
              <w:rPr>
                <w:rFonts w:hint="eastAsia" w:ascii="Times New Roman" w:hAnsi="Times New Roman" w:eastAsia="宋体" w:cs="Times New Roman"/>
                <w:b w:val="0"/>
                <w:bCs w:val="0"/>
                <w:color w:val="000000" w:themeColor="text1"/>
                <w:sz w:val="24"/>
                <w:szCs w:val="24"/>
                <w:highlight w:val="none"/>
                <w:lang w:val="en-US" w:eastAsia="zh-CN"/>
                <w14:textFill>
                  <w14:solidFill>
                    <w14:schemeClr w14:val="tx1"/>
                  </w14:solidFill>
                </w14:textFill>
              </w:rPr>
              <w:t>分别收集后分类暂存危废间，定期委托马鞍山澳新环保科技有限公司处</w:t>
            </w:r>
            <w:r>
              <w:rPr>
                <w:rFonts w:hint="eastAsia" w:ascii="Times New Roman" w:hAnsi="Times New Roman" w:eastAsia="宋体" w:cs="Times New Roman"/>
                <w:b w:val="0"/>
                <w:bCs w:val="0"/>
                <w:color w:val="auto"/>
                <w:sz w:val="24"/>
                <w:szCs w:val="24"/>
                <w:lang w:val="en-US" w:eastAsia="zh-CN"/>
              </w:rPr>
              <w:t>置</w:t>
            </w:r>
            <w:r>
              <w:rPr>
                <w:rFonts w:hint="default" w:ascii="Times New Roman" w:hAnsi="Times New Roman" w:eastAsia="宋体" w:cs="Times New Roman"/>
                <w:color w:val="auto"/>
                <w:sz w:val="24"/>
                <w:szCs w:val="24"/>
                <w:lang w:val="en-US" w:eastAsia="zh-CN"/>
              </w:rPr>
              <w:t>。</w:t>
            </w:r>
          </w:p>
          <w:p w14:paraId="0BDBCC55">
            <w:pPr>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w:t>
            </w:r>
            <w:r>
              <w:rPr>
                <w:rFonts w:hint="eastAsia" w:ascii="Times New Roman" w:hAnsi="Times New Roman" w:eastAsia="宋体" w:cs="Times New Roman"/>
                <w:color w:val="auto"/>
                <w:sz w:val="24"/>
                <w:szCs w:val="24"/>
                <w:lang w:val="en-US" w:eastAsia="zh-CN"/>
              </w:rPr>
              <w:t>各类</w:t>
            </w:r>
            <w:r>
              <w:rPr>
                <w:rFonts w:hint="default" w:ascii="Times New Roman" w:hAnsi="Times New Roman" w:eastAsia="宋体" w:cs="Times New Roman"/>
                <w:color w:val="auto"/>
                <w:sz w:val="24"/>
                <w:szCs w:val="24"/>
                <w:lang w:val="en-US" w:eastAsia="zh-CN"/>
              </w:rPr>
              <w:t>固废</w:t>
            </w:r>
            <w:r>
              <w:rPr>
                <w:rFonts w:hint="eastAsia" w:ascii="Times New Roman" w:hAnsi="Times New Roman" w:eastAsia="宋体" w:cs="Times New Roman"/>
                <w:color w:val="auto"/>
                <w:sz w:val="24"/>
                <w:szCs w:val="24"/>
                <w:lang w:val="en-US" w:eastAsia="zh-CN"/>
              </w:rPr>
              <w:t>均</w:t>
            </w:r>
            <w:r>
              <w:rPr>
                <w:rFonts w:hint="default" w:ascii="Times New Roman" w:hAnsi="Times New Roman" w:eastAsia="宋体" w:cs="Times New Roman"/>
                <w:color w:val="auto"/>
                <w:sz w:val="24"/>
                <w:szCs w:val="24"/>
                <w:lang w:val="en-US" w:eastAsia="zh-CN"/>
              </w:rPr>
              <w:t>得到合理处置，对环境影响较小。</w:t>
            </w:r>
          </w:p>
          <w:p w14:paraId="1C3F521C">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eastAsia" w:ascii="Times New Roman" w:hAnsi="Times New Roman" w:eastAsia="宋体" w:cs="Times New Roman"/>
                <w:b/>
                <w:bCs/>
                <w:color w:val="FF0000"/>
                <w:sz w:val="24"/>
                <w:szCs w:val="24"/>
                <w:lang w:val="en-US" w:eastAsia="zh-CN"/>
              </w:rPr>
            </w:pPr>
            <w:r>
              <w:rPr>
                <w:rFonts w:hint="eastAsia" w:ascii="Times New Roman" w:hAnsi="Times New Roman" w:eastAsia="宋体" w:cs="Times New Roman"/>
                <w:b/>
                <w:bCs/>
                <w:color w:val="auto"/>
                <w:sz w:val="24"/>
                <w:szCs w:val="24"/>
                <w:lang w:val="en-US" w:eastAsia="zh-CN"/>
              </w:rPr>
              <w:t>3、防护距离</w:t>
            </w:r>
          </w:p>
          <w:p w14:paraId="642E9BB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项目环境防护距离为以1#生产车间、2#生产车间分别设置100m的卫生防护距离。根据现场勘踏，项目设置的环境防护范围内无其他居民小区、学校、食品加工企业和医药加工企业等敏感目标，满足环境防护距离的要求。</w:t>
            </w:r>
          </w:p>
          <w:p w14:paraId="711A8D14">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lang w:val="en-US" w:eastAsia="zh-CN"/>
              </w:rPr>
              <w:t>、环境风险防范</w:t>
            </w:r>
          </w:p>
          <w:p w14:paraId="6C921DDE">
            <w:pPr>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项目认真做好环境风险防范工作，建立环境风险应急管理体系，《</w:t>
            </w:r>
            <w:r>
              <w:rPr>
                <w:rFonts w:hint="eastAsia" w:ascii="Times New Roman" w:hAnsi="Times New Roman" w:cs="Times New Roman" w:eastAsiaTheme="minorEastAsia"/>
                <w:color w:val="auto"/>
                <w:sz w:val="24"/>
                <w:szCs w:val="24"/>
                <w:lang w:eastAsia="zh-CN"/>
              </w:rPr>
              <w:t>黄山市航瑞新材料有限公司</w:t>
            </w:r>
            <w:r>
              <w:rPr>
                <w:rFonts w:hint="default" w:ascii="Times New Roman" w:hAnsi="Times New Roman" w:eastAsia="宋体" w:cs="Times New Roman"/>
                <w:color w:val="auto"/>
                <w:sz w:val="24"/>
                <w:szCs w:val="24"/>
                <w:lang w:val="en-US" w:eastAsia="zh-CN"/>
              </w:rPr>
              <w:t>突发环境事件应急预案》</w:t>
            </w:r>
            <w:r>
              <w:rPr>
                <w:rFonts w:hint="eastAsia" w:ascii="Times New Roman" w:hAnsi="Times New Roman" w:eastAsia="宋体" w:cs="Times New Roman"/>
                <w:color w:val="auto"/>
                <w:sz w:val="24"/>
                <w:szCs w:val="24"/>
                <w:lang w:val="en-US" w:eastAsia="zh-CN"/>
              </w:rPr>
              <w:t>已编制并报送黄山市歙县生态环境分局备案（备案号：341021-2025-289-L）</w:t>
            </w:r>
            <w:r>
              <w:rPr>
                <w:rFonts w:hint="default" w:ascii="Times New Roman" w:hAnsi="Times New Roman" w:eastAsia="宋体" w:cs="Times New Roman"/>
                <w:color w:val="auto"/>
                <w:sz w:val="24"/>
                <w:szCs w:val="24"/>
                <w:lang w:val="en-US" w:eastAsia="zh-CN"/>
              </w:rPr>
              <w:t>，应急物资和设备满足</w:t>
            </w:r>
            <w:r>
              <w:rPr>
                <w:rFonts w:hint="eastAsia" w:ascii="Times New Roman" w:hAnsi="Times New Roman" w:eastAsia="宋体" w:cs="Times New Roman"/>
                <w:color w:val="auto"/>
                <w:sz w:val="24"/>
                <w:szCs w:val="24"/>
                <w:lang w:val="en-US" w:eastAsia="zh-CN"/>
              </w:rPr>
              <w:t>厂区级突发环境事件</w:t>
            </w:r>
            <w:r>
              <w:rPr>
                <w:rFonts w:hint="default" w:ascii="Times New Roman" w:hAnsi="Times New Roman" w:eastAsia="宋体" w:cs="Times New Roman"/>
                <w:color w:val="auto"/>
                <w:sz w:val="24"/>
                <w:szCs w:val="24"/>
                <w:lang w:val="en-US" w:eastAsia="zh-CN"/>
              </w:rPr>
              <w:t>应急</w:t>
            </w:r>
            <w:r>
              <w:rPr>
                <w:rFonts w:hint="eastAsia" w:ascii="Times New Roman" w:hAnsi="Times New Roman" w:eastAsia="宋体" w:cs="Times New Roman"/>
                <w:color w:val="auto"/>
                <w:sz w:val="24"/>
                <w:szCs w:val="24"/>
                <w:lang w:val="en-US" w:eastAsia="zh-CN"/>
              </w:rPr>
              <w:t>处置</w:t>
            </w:r>
            <w:r>
              <w:rPr>
                <w:rFonts w:hint="default" w:ascii="Times New Roman" w:hAnsi="Times New Roman" w:eastAsia="宋体" w:cs="Times New Roman"/>
                <w:color w:val="auto"/>
                <w:sz w:val="24"/>
                <w:szCs w:val="24"/>
                <w:lang w:val="en-US" w:eastAsia="zh-CN"/>
              </w:rPr>
              <w:t>要求，落实社会稳定风险预防措施，同时加强</w:t>
            </w:r>
            <w:r>
              <w:rPr>
                <w:rFonts w:hint="eastAsia" w:ascii="Times New Roman" w:hAnsi="Times New Roman" w:eastAsia="宋体" w:cs="Times New Roman"/>
                <w:color w:val="auto"/>
                <w:sz w:val="24"/>
                <w:szCs w:val="24"/>
                <w:lang w:val="en-US" w:eastAsia="zh-CN"/>
              </w:rPr>
              <w:t>应急预案的宣贯与演练</w:t>
            </w:r>
            <w:r>
              <w:rPr>
                <w:rFonts w:hint="default" w:ascii="Times New Roman" w:hAnsi="Times New Roman" w:eastAsia="宋体" w:cs="Times New Roman"/>
                <w:color w:val="auto"/>
                <w:sz w:val="24"/>
                <w:szCs w:val="24"/>
                <w:lang w:val="en-US" w:eastAsia="zh-CN"/>
              </w:rPr>
              <w:t>。</w:t>
            </w:r>
          </w:p>
          <w:p w14:paraId="0F37AACB">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5</w:t>
            </w:r>
            <w:r>
              <w:rPr>
                <w:rFonts w:hint="default" w:ascii="Times New Roman" w:hAnsi="Times New Roman" w:eastAsia="宋体" w:cs="Times New Roman"/>
                <w:b/>
                <w:bCs/>
                <w:color w:val="auto"/>
                <w:sz w:val="24"/>
                <w:szCs w:val="24"/>
                <w:lang w:val="en-US" w:eastAsia="zh-CN"/>
              </w:rPr>
              <w:t>、验收结论</w:t>
            </w:r>
          </w:p>
          <w:p w14:paraId="712DFA90">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根据《建设项目竣工环境保护验收暂行办法》中所规定的验收不合格情形对项目逐一对照核查，得出项目</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现阶段</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验收结论为满足验收要求，验收合格。</w:t>
            </w:r>
          </w:p>
          <w:p w14:paraId="459049B7">
            <w:pPr>
              <w:pStyle w:val="9"/>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b/>
                <w:bCs/>
                <w:color w:val="auto"/>
                <w:sz w:val="24"/>
                <w:szCs w:val="24"/>
                <w:lang w:val="en-US" w:eastAsia="zh-CN"/>
              </w:rPr>
              <w:t>以上结论是在本次监测所描述的工况环境及现阶段的生产规模情况下作出的，本报告仅对监测时段项目方的污染排放情况负责。黄山市航瑞新材料有限公司对所提供材料的真实性负责。</w:t>
            </w:r>
          </w:p>
          <w:p w14:paraId="15BF6E95">
            <w:pPr>
              <w:pStyle w:val="5"/>
              <w:pageBreakBefore w:val="0"/>
              <w:widowControl/>
              <w:kinsoku/>
              <w:wordWrap/>
              <w:overflowPunct/>
              <w:topLinePunct w:val="0"/>
              <w:autoSpaceDE/>
              <w:autoSpaceDN/>
              <w:bidi w:val="0"/>
              <w:adjustRightInd w:val="0"/>
              <w:snapToGrid w:val="0"/>
              <w:spacing w:after="0" w:line="360" w:lineRule="auto"/>
              <w:textAlignment w:val="auto"/>
              <w:rPr>
                <w:rFonts w:hint="default" w:ascii="Times New Roman" w:hAnsi="Times New Roman" w:eastAsia="宋体" w:cs="Times New Roman"/>
                <w:color w:val="auto"/>
                <w:sz w:val="24"/>
                <w:szCs w:val="24"/>
                <w:lang w:eastAsia="zh-CN"/>
              </w:rPr>
            </w:pPr>
            <w:bookmarkStart w:id="25" w:name="_Toc30786"/>
            <w:r>
              <w:rPr>
                <w:rFonts w:hint="default" w:ascii="Times New Roman" w:hAnsi="Times New Roman" w:eastAsia="宋体" w:cs="Times New Roman"/>
                <w:color w:val="auto"/>
                <w:sz w:val="24"/>
                <w:szCs w:val="24"/>
                <w:lang w:eastAsia="zh-CN"/>
              </w:rPr>
              <w:t>二、建议</w:t>
            </w:r>
            <w:bookmarkEnd w:id="25"/>
          </w:p>
          <w:p w14:paraId="62AB5605">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1、规范固体废物的暂存管理，完善固废管理台账；</w:t>
            </w:r>
          </w:p>
          <w:p w14:paraId="3D69EEF5">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2、加强废气、废水等污染防治设施的日常运行维护和管理，做好相应台账记录，确保各污染物稳定达标排放；</w:t>
            </w:r>
          </w:p>
          <w:p w14:paraId="58D8A992">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rPr>
            </w:pPr>
            <w:r>
              <w:rPr>
                <w:rFonts w:hint="eastAsia"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lang w:val="en-US" w:eastAsia="zh-CN"/>
              </w:rPr>
              <w:t>后续项目计划续建后</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应及时履行竣工环境保护验收手续</w:t>
            </w:r>
            <w:r>
              <w:rPr>
                <w:rFonts w:hint="eastAsia" w:ascii="Times New Roman" w:hAnsi="Times New Roman" w:eastAsia="宋体" w:cs="Times New Roman"/>
                <w:color w:val="auto"/>
                <w:sz w:val="24"/>
                <w:szCs w:val="24"/>
              </w:rPr>
              <w:t>。</w:t>
            </w:r>
          </w:p>
          <w:p w14:paraId="49B8E9CF">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rPr>
            </w:pPr>
          </w:p>
          <w:p w14:paraId="6416973E">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rPr>
            </w:pPr>
          </w:p>
          <w:p w14:paraId="5747045D">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rPr>
            </w:pPr>
          </w:p>
          <w:p w14:paraId="625FD2EE">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rPr>
            </w:pPr>
          </w:p>
          <w:p w14:paraId="12ED51E9">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rPr>
            </w:pPr>
          </w:p>
          <w:p w14:paraId="1468F76A">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rPr>
            </w:pPr>
          </w:p>
          <w:p w14:paraId="681069CA">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rPr>
            </w:pPr>
          </w:p>
          <w:p w14:paraId="52754D77">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rPr>
            </w:pPr>
          </w:p>
          <w:p w14:paraId="6B540AF5">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rPr>
            </w:pPr>
          </w:p>
          <w:p w14:paraId="44A9E494">
            <w:pPr>
              <w:pStyle w:val="9"/>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Times New Roman" w:hAnsi="Times New Roman" w:eastAsia="宋体" w:cs="Times New Roman"/>
                <w:color w:val="FF0000"/>
                <w:sz w:val="24"/>
                <w:szCs w:val="24"/>
              </w:rPr>
            </w:pPr>
          </w:p>
          <w:p w14:paraId="4F460445">
            <w:pPr>
              <w:pStyle w:val="9"/>
              <w:pageBreakBefore w:val="0"/>
              <w:widowControl/>
              <w:kinsoku/>
              <w:wordWrap/>
              <w:overflowPunct/>
              <w:topLinePunct w:val="0"/>
              <w:autoSpaceDE/>
              <w:autoSpaceDN/>
              <w:bidi w:val="0"/>
              <w:adjustRightInd w:val="0"/>
              <w:snapToGrid w:val="0"/>
              <w:spacing w:after="0" w:line="360" w:lineRule="auto"/>
              <w:textAlignment w:val="auto"/>
              <w:rPr>
                <w:rFonts w:hint="eastAsia" w:ascii="Times New Roman" w:hAnsi="Times New Roman" w:eastAsia="宋体" w:cs="Times New Roman"/>
                <w:color w:val="FF0000"/>
                <w:sz w:val="24"/>
                <w:szCs w:val="24"/>
              </w:rPr>
            </w:pPr>
          </w:p>
        </w:tc>
      </w:tr>
    </w:tbl>
    <w:p w14:paraId="60D6CEB0">
      <w:pPr>
        <w:keepNext w:val="0"/>
        <w:keepLines w:val="0"/>
        <w:pageBreakBefore w:val="0"/>
        <w:widowControl/>
        <w:kinsoku/>
        <w:wordWrap/>
        <w:overflowPunct/>
        <w:topLinePunct w:val="0"/>
        <w:autoSpaceDE/>
        <w:autoSpaceDN/>
        <w:bidi w:val="0"/>
        <w:adjustRightInd w:val="0"/>
        <w:snapToGrid w:val="0"/>
        <w:spacing w:after="0" w:afterLines="0" w:line="360" w:lineRule="auto"/>
        <w:textAlignment w:val="auto"/>
        <w:outlineLvl w:val="9"/>
        <w:rPr>
          <w:rFonts w:hint="eastAsia" w:ascii="Times New Roman" w:hAnsi="Times New Roman" w:eastAsia="宋体" w:cs="Times New Roman"/>
          <w:b/>
          <w:color w:val="FF0000"/>
          <w:sz w:val="24"/>
          <w:szCs w:val="24"/>
          <w:lang w:val="en-US" w:eastAsia="zh-CN"/>
        </w:rPr>
        <w:sectPr>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0000941">
      <w:pPr>
        <w:keepNext w:val="0"/>
        <w:keepLines w:val="0"/>
        <w:pageBreakBefore w:val="0"/>
        <w:widowControl/>
        <w:kinsoku/>
        <w:wordWrap/>
        <w:overflowPunct/>
        <w:topLinePunct w:val="0"/>
        <w:autoSpaceDE/>
        <w:autoSpaceDN/>
        <w:bidi w:val="0"/>
        <w:adjustRightInd w:val="0"/>
        <w:snapToGrid w:val="0"/>
        <w:spacing w:after="0"/>
        <w:jc w:val="both"/>
        <w:textAlignment w:val="auto"/>
        <w:outlineLvl w:val="1"/>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附图1 项目地理位置图</w:t>
      </w:r>
    </w:p>
    <w:p w14:paraId="0B24B726">
      <w:pPr>
        <w:pStyle w:val="2"/>
        <w:jc w:val="center"/>
        <w:rPr>
          <w:rFonts w:hint="default"/>
        </w:rPr>
        <w:sectPr>
          <w:footerReference r:id="rId12" w:type="default"/>
          <w:pgSz w:w="16838" w:h="11906" w:orient="landscape"/>
          <w:pgMar w:top="1531" w:right="1701" w:bottom="1531" w:left="1701" w:header="851" w:footer="850"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eastAsia="宋体" w:cs="Times New Roman"/>
          <w:color w:val="auto"/>
          <w:sz w:val="21"/>
        </w:rPr>
        <mc:AlternateContent>
          <mc:Choice Requires="wps">
            <w:drawing>
              <wp:anchor distT="0" distB="0" distL="114300" distR="114300" simplePos="0" relativeHeight="251683840" behindDoc="0" locked="0" layoutInCell="1" allowOverlap="1">
                <wp:simplePos x="0" y="0"/>
                <wp:positionH relativeFrom="column">
                  <wp:posOffset>7550785</wp:posOffset>
                </wp:positionH>
                <wp:positionV relativeFrom="paragraph">
                  <wp:posOffset>164465</wp:posOffset>
                </wp:positionV>
                <wp:extent cx="358140" cy="403860"/>
                <wp:effectExtent l="0" t="0" r="0" b="0"/>
                <wp:wrapNone/>
                <wp:docPr id="3" name="文本框 3"/>
                <wp:cNvGraphicFramePr/>
                <a:graphic xmlns:a="http://schemas.openxmlformats.org/drawingml/2006/main">
                  <a:graphicData uri="http://schemas.microsoft.com/office/word/2010/wordprocessingShape">
                    <wps:wsp>
                      <wps:cNvSpPr txBox="1"/>
                      <wps:spPr>
                        <a:xfrm>
                          <a:off x="0" y="0"/>
                          <a:ext cx="358140" cy="403860"/>
                        </a:xfrm>
                        <a:prstGeom prst="rect">
                          <a:avLst/>
                        </a:prstGeom>
                        <a:noFill/>
                        <a:ln>
                          <a:noFill/>
                        </a:ln>
                      </wps:spPr>
                      <wps:txbx>
                        <w:txbxContent>
                          <w:p w14:paraId="144665AB">
                            <w:pPr>
                              <w:rPr>
                                <w:rFonts w:hint="default" w:eastAsia="宋体"/>
                                <w:color w:val="FFFFFF"/>
                                <w:sz w:val="44"/>
                                <w:szCs w:val="44"/>
                                <w:lang w:val="en-US" w:eastAsia="zh-CN"/>
                              </w:rPr>
                            </w:pPr>
                            <w:r>
                              <w:rPr>
                                <w:rFonts w:hint="eastAsia"/>
                                <w:color w:val="FFFFFF"/>
                                <w:sz w:val="44"/>
                                <w:szCs w:val="44"/>
                                <w:lang w:val="en-US" w:eastAsia="zh-CN"/>
                              </w:rPr>
                              <w:t>N</w:t>
                            </w:r>
                          </w:p>
                        </w:txbxContent>
                      </wps:txbx>
                      <wps:bodyPr upright="1"/>
                    </wps:wsp>
                  </a:graphicData>
                </a:graphic>
              </wp:anchor>
            </w:drawing>
          </mc:Choice>
          <mc:Fallback>
            <w:pict>
              <v:shape id="_x0000_s1026" o:spid="_x0000_s1026" o:spt="202" type="#_x0000_t202" style="position:absolute;left:0pt;margin-left:594.55pt;margin-top:12.95pt;height:31.8pt;width:28.2pt;z-index:251683840;mso-width-relative:page;mso-height-relative:page;" filled="f" stroked="f" coordsize="21600,21600" o:gfxdata="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iSNiI1wAA&#10;AAsBAAAPAAAAAAAAAAEAIAAAACIAAABkcnMvZG93bnJldi54bWxQSwECFAAUAAAACACHTuJApIuH&#10;S60BAABNAwAADgAAAAAAAAABACAAAAAmAQAAZHJzL2Uyb0RvYy54bWxQSwUGAAAAAAYABgBZAQAA&#10;RQUAAAAA&#10;">
                <v:fill on="f" focussize="0,0"/>
                <v:stroke on="f"/>
                <v:imagedata o:title=""/>
                <o:lock v:ext="edit" aspectratio="f"/>
                <v:textbox>
                  <w:txbxContent>
                    <w:p w14:paraId="144665AB">
                      <w:pPr>
                        <w:rPr>
                          <w:rFonts w:hint="default" w:eastAsia="宋体"/>
                          <w:color w:val="FFFFFF"/>
                          <w:sz w:val="44"/>
                          <w:szCs w:val="44"/>
                          <w:lang w:val="en-US" w:eastAsia="zh-CN"/>
                        </w:rPr>
                      </w:pPr>
                      <w:r>
                        <w:rPr>
                          <w:rFonts w:hint="eastAsia"/>
                          <w:color w:val="FFFFFF"/>
                          <w:sz w:val="44"/>
                          <w:szCs w:val="44"/>
                          <w:lang w:val="en-US" w:eastAsia="zh-CN"/>
                        </w:rPr>
                        <w:t>N</w:t>
                      </w:r>
                    </w:p>
                  </w:txbxContent>
                </v:textbox>
              </v:shape>
            </w:pict>
          </mc:Fallback>
        </mc:AlternateContent>
      </w:r>
      <w:r>
        <w:rPr>
          <w:rFonts w:hint="default" w:ascii="Times New Roman" w:hAnsi="Times New Roman" w:eastAsia="宋体" w:cs="Times New Roman"/>
          <w:color w:val="auto"/>
          <w:sz w:val="21"/>
        </w:rPr>
        <mc:AlternateContent>
          <mc:Choice Requires="wps">
            <w:drawing>
              <wp:anchor distT="0" distB="0" distL="114300" distR="114300" simplePos="0" relativeHeight="251682816" behindDoc="0" locked="0" layoutInCell="1" allowOverlap="1">
                <wp:simplePos x="0" y="0"/>
                <wp:positionH relativeFrom="column">
                  <wp:posOffset>7915275</wp:posOffset>
                </wp:positionH>
                <wp:positionV relativeFrom="paragraph">
                  <wp:posOffset>81280</wp:posOffset>
                </wp:positionV>
                <wp:extent cx="166370" cy="611505"/>
                <wp:effectExtent l="8255" t="10160" r="15875" b="6985"/>
                <wp:wrapNone/>
                <wp:docPr id="99" name="上箭头 99"/>
                <wp:cNvGraphicFramePr/>
                <a:graphic xmlns:a="http://schemas.openxmlformats.org/drawingml/2006/main">
                  <a:graphicData uri="http://schemas.microsoft.com/office/word/2010/wordprocessingShape">
                    <wps:wsp>
                      <wps:cNvSpPr/>
                      <wps:spPr>
                        <a:xfrm>
                          <a:off x="0" y="0"/>
                          <a:ext cx="166370" cy="611505"/>
                        </a:xfrm>
                        <a:prstGeom prst="upArrow">
                          <a:avLst>
                            <a:gd name="adj1" fmla="val 50000"/>
                            <a:gd name="adj2" fmla="val 91889"/>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8" type="#_x0000_t68" style="position:absolute;left:0pt;margin-left:623.25pt;margin-top:6.4pt;height:48.15pt;width:13.1pt;z-index:251682816;mso-width-relative:page;mso-height-relative:page;" fillcolor="#FFFFFF" filled="t" stroked="t" coordsize="21600,21600" o:gfxdata="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Xb0OXZAAAADAEAAA8AAAAAAAAAAQAgAAAAIgAAAGRycy9kb3ducmV2LnhtbFBLAQIUABQA&#10;AAAIAIdO4kBEZg6BKAIAAHYEAAAOAAAAAAAAAAEAIAAAACgBAABkcnMvZTJvRG9jLnhtbFBLBQYA&#10;AAAABgAGAFkBAADCBQAAAAA=&#10;" adj="5399,5400">
                <v:fill on="t" focussize="0,0"/>
                <v:stroke color="#000000" joinstyle="miter"/>
                <v:imagedata o:title=""/>
                <o:lock v:ext="edit" aspectratio="f"/>
              </v:shape>
            </w:pict>
          </mc:Fallback>
        </mc:AlternateContent>
      </w:r>
      <w:r>
        <w:rPr>
          <w:color w:val="FF0000"/>
        </w:rPr>
        <mc:AlternateContent>
          <mc:Choice Requires="wps">
            <w:drawing>
              <wp:anchor distT="0" distB="0" distL="114300" distR="114300" simplePos="0" relativeHeight="251681792" behindDoc="0" locked="0" layoutInCell="1" allowOverlap="1">
                <wp:simplePos x="0" y="0"/>
                <wp:positionH relativeFrom="column">
                  <wp:posOffset>1421130</wp:posOffset>
                </wp:positionH>
                <wp:positionV relativeFrom="paragraph">
                  <wp:posOffset>103505</wp:posOffset>
                </wp:positionV>
                <wp:extent cx="741680" cy="288925"/>
                <wp:effectExtent l="6350" t="6350" r="13970" b="371475"/>
                <wp:wrapNone/>
                <wp:docPr id="118" name="矩形标注 118"/>
                <wp:cNvGraphicFramePr/>
                <a:graphic xmlns:a="http://schemas.openxmlformats.org/drawingml/2006/main">
                  <a:graphicData uri="http://schemas.microsoft.com/office/word/2010/wordprocessingShape">
                    <wps:wsp>
                      <wps:cNvSpPr/>
                      <wps:spPr>
                        <a:xfrm rot="10800000" flipH="1">
                          <a:off x="0" y="0"/>
                          <a:ext cx="741680" cy="288925"/>
                        </a:xfrm>
                        <a:prstGeom prst="wedgeRectCallout">
                          <a:avLst>
                            <a:gd name="adj1" fmla="val -24743"/>
                            <a:gd name="adj2" fmla="val -168241"/>
                          </a:avLst>
                        </a:prstGeom>
                        <a:noFill/>
                        <a:ln w="12700" cap="flat" cmpd="sng">
                          <a:solidFill>
                            <a:srgbClr val="FF0000"/>
                          </a:solidFill>
                          <a:prstDash val="solid"/>
                          <a:miter/>
                          <a:headEnd type="none" w="med" len="med"/>
                          <a:tailEnd type="none" w="med" len="med"/>
                        </a:ln>
                      </wps:spPr>
                      <wps:txbx>
                        <w:txbxContent>
                          <w:p w14:paraId="0461CDA5">
                            <w:pPr>
                              <w:jc w:val="center"/>
                              <w:rPr>
                                <w:rFonts w:hint="default" w:ascii="Times New Roman" w:hAnsi="Times New Roman" w:eastAsia="宋体" w:cs="Times New Roman"/>
                                <w:b/>
                                <w:bCs/>
                                <w:color w:val="FF0000"/>
                              </w:rPr>
                            </w:pPr>
                            <w:r>
                              <w:rPr>
                                <w:rFonts w:hint="default" w:ascii="Times New Roman" w:hAnsi="Times New Roman" w:eastAsia="宋体" w:cs="Times New Roman"/>
                                <w:b/>
                                <w:bCs/>
                                <w:color w:val="FF0000"/>
                              </w:rPr>
                              <w:t>本项目</w:t>
                            </w:r>
                          </w:p>
                        </w:txbxContent>
                      </wps:txbx>
                      <wps:bodyPr anchor="ctr" anchorCtr="0" upright="1"/>
                    </wps:wsp>
                  </a:graphicData>
                </a:graphic>
              </wp:anchor>
            </w:drawing>
          </mc:Choice>
          <mc:Fallback>
            <w:pict>
              <v:shape id="_x0000_s1026" o:spid="_x0000_s1026" o:spt="61" type="#_x0000_t61" style="position:absolute;left:0pt;flip:x;margin-left:111.9pt;margin-top:8.15pt;height:22.75pt;width:58.4pt;rotation:11796480f;z-index:251681792;v-text-anchor:middle;mso-width-relative:page;mso-height-relative:page;" filled="f" stroked="t" coordsize="21600,21600" o:gfxdata="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3jYtxdcAAAAJAQAA&#10;DwAAAAAAAAABACAAAAAiAAAAZHJzL2Rvd25yZXYueG1sUEsBAhQAFAAAAAgAh07iQDaVUFpTAgAA&#10;ngQAAA4AAAAAAAAAAQAgAAAAJgEAAGRycy9lMm9Eb2MueG1sUEsFBgAAAAAGAAYAWQEAAOsFAAAA&#10;AA==&#10;" adj="5456,-25540">
                <v:fill on="f" focussize="0,0"/>
                <v:stroke weight="1pt" color="#FF0000" joinstyle="miter"/>
                <v:imagedata o:title=""/>
                <o:lock v:ext="edit" aspectratio="f"/>
                <v:textbox>
                  <w:txbxContent>
                    <w:p w14:paraId="0461CDA5">
                      <w:pPr>
                        <w:jc w:val="center"/>
                        <w:rPr>
                          <w:rFonts w:hint="default" w:ascii="Times New Roman" w:hAnsi="Times New Roman" w:eastAsia="宋体" w:cs="Times New Roman"/>
                          <w:b/>
                          <w:bCs/>
                          <w:color w:val="FF0000"/>
                        </w:rPr>
                      </w:pPr>
                      <w:r>
                        <w:rPr>
                          <w:rFonts w:hint="default" w:ascii="Times New Roman" w:hAnsi="Times New Roman" w:eastAsia="宋体" w:cs="Times New Roman"/>
                          <w:b/>
                          <w:bCs/>
                          <w:color w:val="FF0000"/>
                        </w:rPr>
                        <w:t>本项目</w:t>
                      </w:r>
                    </w:p>
                  </w:txbxContent>
                </v:textbox>
              </v:shape>
            </w:pict>
          </mc:Fallback>
        </mc:AlternateContent>
      </w:r>
      <w:r>
        <w:rPr>
          <w:color w:val="FF0000"/>
        </w:rPr>
        <mc:AlternateContent>
          <mc:Choice Requires="wps">
            <w:drawing>
              <wp:anchor distT="0" distB="0" distL="114300" distR="114300" simplePos="0" relativeHeight="251680768" behindDoc="0" locked="0" layoutInCell="1" allowOverlap="1">
                <wp:simplePos x="0" y="0"/>
                <wp:positionH relativeFrom="column">
                  <wp:posOffset>1536065</wp:posOffset>
                </wp:positionH>
                <wp:positionV relativeFrom="paragraph">
                  <wp:posOffset>771525</wp:posOffset>
                </wp:positionV>
                <wp:extent cx="144145" cy="144145"/>
                <wp:effectExtent l="13970" t="15875" r="32385" b="30480"/>
                <wp:wrapNone/>
                <wp:docPr id="117" name="任意多边形 117"/>
                <wp:cNvGraphicFramePr/>
                <a:graphic xmlns:a="http://schemas.openxmlformats.org/drawingml/2006/main">
                  <a:graphicData uri="http://schemas.microsoft.com/office/word/2010/wordprocessingShape">
                    <wps:wsp>
                      <wps:cNvSpPr/>
                      <wps:spPr>
                        <a:xfrm>
                          <a:off x="0" y="0"/>
                          <a:ext cx="144145" cy="144145"/>
                        </a:xfrm>
                        <a:custGeom>
                          <a:avLst/>
                          <a:gdLst/>
                          <a:ahLst/>
                          <a:cxnLst>
                            <a:cxn ang="16187392">
                              <a:pos x="72072" y="0"/>
                            </a:cxn>
                            <a:cxn ang="10747904">
                              <a:pos x="0" y="55058"/>
                            </a:cxn>
                            <a:cxn ang="5373952">
                              <a:pos x="27529" y="144144"/>
                            </a:cxn>
                            <a:cxn ang="5373952">
                              <a:pos x="116615" y="144144"/>
                            </a:cxn>
                            <a:cxn ang="0">
                              <a:pos x="144144" y="55058"/>
                            </a:cxn>
                          </a:cxnLst>
                          <a:pathLst>
                            <a:path w="144145" h="144145">
                              <a:moveTo>
                                <a:pt x="0" y="55058"/>
                              </a:moveTo>
                              <a:lnTo>
                                <a:pt x="55058" y="55058"/>
                              </a:lnTo>
                              <a:lnTo>
                                <a:pt x="72072" y="0"/>
                              </a:lnTo>
                              <a:lnTo>
                                <a:pt x="89086" y="55058"/>
                              </a:lnTo>
                              <a:lnTo>
                                <a:pt x="144144" y="55058"/>
                              </a:lnTo>
                              <a:lnTo>
                                <a:pt x="99601" y="89086"/>
                              </a:lnTo>
                              <a:lnTo>
                                <a:pt x="116615" y="144144"/>
                              </a:lnTo>
                              <a:lnTo>
                                <a:pt x="72072" y="110116"/>
                              </a:lnTo>
                              <a:lnTo>
                                <a:pt x="27529" y="144144"/>
                              </a:lnTo>
                              <a:lnTo>
                                <a:pt x="44543" y="89086"/>
                              </a:lnTo>
                              <a:close/>
                            </a:path>
                          </a:pathLst>
                        </a:cu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_x0000_s1026" o:spid="_x0000_s1026" o:spt="100" style="position:absolute;left:0pt;margin-left:120.95pt;margin-top:60.75pt;height:11.35pt;width:11.35pt;z-index:251680768;mso-width-relative:page;mso-height-relative:page;" fillcolor="#FF0000" filled="t" stroked="t" coordsize="144145,144145" o:gfxdata="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AAAAAGRycy9QSwECFAAUAAAACACHTuJAsdZT5tkAAAALAQAADwAAAAAAAAABACAAAAAiAAAA&#10;ZHJzL2Rvd25yZXYueG1sUEsBAhQAFAAAAAgAh07iQDPxLLjqAgAAXQcAAA4AAAAAAAAAAQAgAAAA&#10;KAEAAGRycy9lMm9Eb2MueG1sUEsFBgAAAAAGAAYAWQEAAIQGAAAAAA==&#10;" path="m0,55058l55058,55058,72072,0,89086,55058,144144,55058,99601,89086,116615,144144,72072,110116,27529,144144,44543,89086xe">
                <v:path o:connectlocs="72072,0;0,55058;27529,144144;116615,144144;144144,55058" o:connectangles="247,164,82,82,0"/>
                <v:fill on="t" focussize="0,0"/>
                <v:stroke color="#FF0000" joinstyle="miter"/>
                <v:imagedata o:title=""/>
                <o:lock v:ext="edit" aspectratio="f"/>
              </v:shape>
            </w:pict>
          </mc:Fallback>
        </mc:AlternateContent>
      </w:r>
      <w:r>
        <w:rPr>
          <w:color w:val="FF0000"/>
        </w:rPr>
        <w:drawing>
          <wp:anchor distT="0" distB="0" distL="114300" distR="114300" simplePos="0" relativeHeight="251679744" behindDoc="0" locked="0" layoutInCell="1" allowOverlap="1">
            <wp:simplePos x="0" y="0"/>
            <wp:positionH relativeFrom="column">
              <wp:posOffset>165735</wp:posOffset>
            </wp:positionH>
            <wp:positionV relativeFrom="paragraph">
              <wp:posOffset>24130</wp:posOffset>
            </wp:positionV>
            <wp:extent cx="2023745" cy="1320165"/>
            <wp:effectExtent l="0" t="0" r="14605" b="13335"/>
            <wp:wrapNone/>
            <wp:docPr id="116" name="图片 1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 descr="11"/>
                    <pic:cNvPicPr>
                      <a:picLocks noChangeAspect="1"/>
                    </pic:cNvPicPr>
                  </pic:nvPicPr>
                  <pic:blipFill>
                    <a:blip r:embed="rId26"/>
                    <a:stretch>
                      <a:fillRect/>
                    </a:stretch>
                  </pic:blipFill>
                  <pic:spPr>
                    <a:xfrm>
                      <a:off x="0" y="0"/>
                      <a:ext cx="2023745" cy="1320165"/>
                    </a:xfrm>
                    <a:prstGeom prst="rect">
                      <a:avLst/>
                    </a:prstGeom>
                    <a:noFill/>
                    <a:ln>
                      <a:noFill/>
                    </a:ln>
                  </pic:spPr>
                </pic:pic>
              </a:graphicData>
            </a:graphic>
          </wp:anchor>
        </w:drawing>
      </w:r>
      <w:r>
        <w:rPr>
          <w:sz w:val="24"/>
        </w:rPr>
        <mc:AlternateContent>
          <mc:Choice Requires="wpg">
            <w:drawing>
              <wp:anchor distT="0" distB="0" distL="114300" distR="114300" simplePos="0" relativeHeight="251672576" behindDoc="0" locked="0" layoutInCell="1" allowOverlap="1">
                <wp:simplePos x="0" y="0"/>
                <wp:positionH relativeFrom="column">
                  <wp:posOffset>6847840</wp:posOffset>
                </wp:positionH>
                <wp:positionV relativeFrom="paragraph">
                  <wp:posOffset>4347845</wp:posOffset>
                </wp:positionV>
                <wp:extent cx="1465580" cy="984250"/>
                <wp:effectExtent l="4445" t="4445" r="15875" b="20955"/>
                <wp:wrapNone/>
                <wp:docPr id="62" name="组合 62"/>
                <wp:cNvGraphicFramePr/>
                <a:graphic xmlns:a="http://schemas.openxmlformats.org/drawingml/2006/main">
                  <a:graphicData uri="http://schemas.microsoft.com/office/word/2010/wordprocessingGroup">
                    <wpg:wgp>
                      <wpg:cNvGrpSpPr/>
                      <wpg:grpSpPr>
                        <a:xfrm>
                          <a:off x="0" y="0"/>
                          <a:ext cx="1465580" cy="984250"/>
                          <a:chOff x="13690" y="26183"/>
                          <a:chExt cx="2308" cy="1550"/>
                        </a:xfrm>
                      </wpg:grpSpPr>
                      <wps:wsp>
                        <wps:cNvPr id="57" name="矩形 57"/>
                        <wps:cNvSpPr/>
                        <wps:spPr>
                          <a:xfrm>
                            <a:off x="13690" y="26183"/>
                            <a:ext cx="2233" cy="1550"/>
                          </a:xfrm>
                          <a:prstGeom prst="rect">
                            <a:avLst/>
                          </a:prstGeom>
                          <a:solidFill>
                            <a:srgbClr val="FFFFFF">
                              <a:alpha val="50000"/>
                            </a:srgbClr>
                          </a:solidFill>
                          <a:ln w="9525" cap="flat" cmpd="sng">
                            <a:solidFill>
                              <a:srgbClr val="000000"/>
                            </a:solidFill>
                            <a:prstDash val="solid"/>
                            <a:miter/>
                            <a:headEnd type="none" w="med" len="med"/>
                            <a:tailEnd type="none" w="med" len="med"/>
                          </a:ln>
                        </wps:spPr>
                        <wps:bodyPr anchor="ctr" anchorCtr="0" upright="1"/>
                      </wps:wsp>
                      <wps:wsp>
                        <wps:cNvPr id="58" name="文本框 58"/>
                        <wps:cNvSpPr txBox="1"/>
                        <wps:spPr>
                          <a:xfrm>
                            <a:off x="13750" y="26236"/>
                            <a:ext cx="886" cy="550"/>
                          </a:xfrm>
                          <a:prstGeom prst="rect">
                            <a:avLst/>
                          </a:prstGeom>
                          <a:noFill/>
                          <a:ln w="6350">
                            <a:noFill/>
                          </a:ln>
                        </wps:spPr>
                        <wps:txbx>
                          <w:txbxContent>
                            <w:p w14:paraId="608B055E">
                              <w:pPr>
                                <w:rPr>
                                  <w:rFonts w:hint="default" w:eastAsia="宋体"/>
                                  <w:b/>
                                  <w:bCs/>
                                  <w:lang w:val="en-US" w:eastAsia="zh-CN"/>
                                </w:rPr>
                              </w:pPr>
                              <w:r>
                                <w:rPr>
                                  <w:rFonts w:hint="eastAsia"/>
                                  <w:b/>
                                  <w:bCs/>
                                  <w:lang w:val="en-US" w:eastAsia="zh-CN"/>
                                </w:rPr>
                                <w:t>图例</w:t>
                              </w:r>
                            </w:p>
                          </w:txbxContent>
                        </wps:txbx>
                        <wps:bodyPr upright="1"/>
                      </wps:wsp>
                      <wps:wsp>
                        <wps:cNvPr id="59" name="矩形 59"/>
                        <wps:cNvSpPr/>
                        <wps:spPr>
                          <a:xfrm>
                            <a:off x="13917" y="26873"/>
                            <a:ext cx="535" cy="320"/>
                          </a:xfrm>
                          <a:prstGeom prst="rect">
                            <a:avLst/>
                          </a:prstGeom>
                          <a:noFill/>
                          <a:ln w="25400" cap="flat" cmpd="sng">
                            <a:solidFill>
                              <a:srgbClr val="FF0000"/>
                            </a:solidFill>
                            <a:prstDash val="solid"/>
                            <a:round/>
                            <a:headEnd type="none" w="med" len="med"/>
                            <a:tailEnd type="none" w="med" len="med"/>
                          </a:ln>
                        </wps:spPr>
                        <wps:bodyPr anchor="ctr" anchorCtr="0" upright="1"/>
                      </wps:wsp>
                      <wps:wsp>
                        <wps:cNvPr id="60" name="文本框 60"/>
                        <wps:cNvSpPr txBox="1"/>
                        <wps:spPr>
                          <a:xfrm>
                            <a:off x="14334" y="26751"/>
                            <a:ext cx="1664" cy="550"/>
                          </a:xfrm>
                          <a:prstGeom prst="rect">
                            <a:avLst/>
                          </a:prstGeom>
                          <a:noFill/>
                          <a:ln w="6350">
                            <a:noFill/>
                          </a:ln>
                        </wps:spPr>
                        <wps:txbx>
                          <w:txbxContent>
                            <w:p w14:paraId="3E66BAF2">
                              <w:pPr>
                                <w:ind w:firstLine="210" w:firstLineChars="100"/>
                                <w:rPr>
                                  <w:rFonts w:hint="default" w:eastAsia="宋体"/>
                                  <w:b/>
                                  <w:bCs/>
                                  <w:sz w:val="21"/>
                                  <w:szCs w:val="21"/>
                                  <w:lang w:val="en-US" w:eastAsia="zh-CN"/>
                                </w:rPr>
                              </w:pPr>
                              <w:r>
                                <w:rPr>
                                  <w:rFonts w:hint="eastAsia"/>
                                  <w:b/>
                                  <w:bCs/>
                                  <w:sz w:val="21"/>
                                  <w:szCs w:val="21"/>
                                  <w:lang w:val="en-US" w:eastAsia="zh-CN"/>
                                </w:rPr>
                                <w:t>项目所在地</w:t>
                              </w:r>
                            </w:p>
                          </w:txbxContent>
                        </wps:txbx>
                        <wps:bodyPr upright="1"/>
                      </wps:wsp>
                    </wpg:wgp>
                  </a:graphicData>
                </a:graphic>
              </wp:anchor>
            </w:drawing>
          </mc:Choice>
          <mc:Fallback>
            <w:pict>
              <v:group id="_x0000_s1026" o:spid="_x0000_s1026" o:spt="203" style="position:absolute;left:0pt;margin-left:539.2pt;margin-top:342.35pt;height:77.5pt;width:115.4pt;z-index:251672576;mso-width-relative:page;mso-height-relative:page;" coordorigin="13690,26183" coordsize="2308,1550" o:gfxdata="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">
                <o:lock v:ext="edit" aspectratio="f"/>
                <v:rect id="_x0000_s1026" o:spid="_x0000_s1026" o:spt="1" style="position:absolute;left:13690;top:26183;height:1550;width:2233;v-text-anchor:middle;" fillcolor="#FFFFFF" filled="t" stroked="t" coordsize="21600,21600" o:gfxdata="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XL2+vQAA&#10;ANsAAAAPAAAAAAAAAAEAIAAAACIAAABkcnMvZG93bnJldi54bWxQSwECFAAUAAAACACHTuJAMy8F&#10;njsAAAA5AAAAEAAAAAAAAAABACAAAAAMAQAAZHJzL3NoYXBleG1sLnhtbFBLBQYAAAAABgAGAFsB&#10;AAC2AwAAAAA=&#10;">
                  <v:fill on="t" opacity="32768f" focussize="0,0"/>
                  <v:stroke color="#000000" joinstyle="miter"/>
                  <v:imagedata o:title=""/>
                  <o:lock v:ext="edit" aspectratio="f"/>
                </v:rect>
                <v:shape id="_x0000_s1026" o:spid="_x0000_s1026" o:spt="202" type="#_x0000_t202" style="position:absolute;left:13750;top:26236;height:550;width:886;" filled="f" stroked="f" coordsize="21600,21600" o:gfxdata="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zj8RrgAAADbAAAA&#10;DwAAAAAAAAABACAAAAAiAAAAZHJzL2Rvd25yZXYueG1sUEsBAhQAFAAAAAgAh07iQDMvBZ47AAAA&#10;OQAAABAAAAAAAAAAAQAgAAAABwEAAGRycy9zaGFwZXhtbC54bWxQSwUGAAAAAAYABgBbAQAAsQMA&#10;AAAA&#10;">
                  <v:fill on="f" focussize="0,0"/>
                  <v:stroke on="f" weight="0.5pt"/>
                  <v:imagedata o:title=""/>
                  <o:lock v:ext="edit" aspectratio="f"/>
                  <v:textbox>
                    <w:txbxContent>
                      <w:p w14:paraId="608B055E">
                        <w:pPr>
                          <w:rPr>
                            <w:rFonts w:hint="default" w:eastAsia="宋体"/>
                            <w:b/>
                            <w:bCs/>
                            <w:lang w:val="en-US" w:eastAsia="zh-CN"/>
                          </w:rPr>
                        </w:pPr>
                        <w:r>
                          <w:rPr>
                            <w:rFonts w:hint="eastAsia"/>
                            <w:b/>
                            <w:bCs/>
                            <w:lang w:val="en-US" w:eastAsia="zh-CN"/>
                          </w:rPr>
                          <w:t>图例</w:t>
                        </w:r>
                      </w:p>
                    </w:txbxContent>
                  </v:textbox>
                </v:shape>
                <v:rect id="_x0000_s1026" o:spid="_x0000_s1026" o:spt="1" style="position:absolute;left:13917;top:26873;height:320;width:535;v-text-anchor:middle;" filled="f" stroked="t" coordsize="21600,21600" o:gfxdata="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jIO6C8AAAA&#10;2wAAAA8AAAAAAAAAAQAgAAAAIgAAAGRycy9kb3ducmV2LnhtbFBLAQIUABQAAAAIAIdO4kAzLwWe&#10;OwAAADkAAAAQAAAAAAAAAAEAIAAAAAsBAABkcnMvc2hhcGV4bWwueG1sUEsFBgAAAAAGAAYAWwEA&#10;ALUDAAAAAA==&#10;">
                  <v:fill on="f" focussize="0,0"/>
                  <v:stroke weight="2pt" color="#FF0000" joinstyle="round"/>
                  <v:imagedata o:title=""/>
                  <o:lock v:ext="edit" aspectratio="f"/>
                </v:rect>
                <v:shape id="_x0000_s1026" o:spid="_x0000_s1026" o:spt="202" type="#_x0000_t202" style="position:absolute;left:14334;top:26751;height:550;width:1664;" filled="f" stroked="f" coordsize="21600,21600" o:gfxdata="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yI6/bgAAADbAAAA&#10;DwAAAAAAAAABACAAAAAiAAAAZHJzL2Rvd25yZXYueG1sUEsBAhQAFAAAAAgAh07iQDMvBZ47AAAA&#10;OQAAABAAAAAAAAAAAQAgAAAABwEAAGRycy9zaGFwZXhtbC54bWxQSwUGAAAAAAYABgBbAQAAsQMA&#10;AAAA&#10;">
                  <v:fill on="f" focussize="0,0"/>
                  <v:stroke on="f" weight="0.5pt"/>
                  <v:imagedata o:title=""/>
                  <o:lock v:ext="edit" aspectratio="f"/>
                  <v:textbox>
                    <w:txbxContent>
                      <w:p w14:paraId="3E66BAF2">
                        <w:pPr>
                          <w:ind w:firstLine="210" w:firstLineChars="100"/>
                          <w:rPr>
                            <w:rFonts w:hint="default" w:eastAsia="宋体"/>
                            <w:b/>
                            <w:bCs/>
                            <w:sz w:val="21"/>
                            <w:szCs w:val="21"/>
                            <w:lang w:val="en-US" w:eastAsia="zh-CN"/>
                          </w:rPr>
                        </w:pPr>
                        <w:r>
                          <w:rPr>
                            <w:rFonts w:hint="eastAsia"/>
                            <w:b/>
                            <w:bCs/>
                            <w:sz w:val="21"/>
                            <w:szCs w:val="21"/>
                            <w:lang w:val="en-US" w:eastAsia="zh-CN"/>
                          </w:rPr>
                          <w:t>项目所在地</w:t>
                        </w:r>
                      </w:p>
                    </w:txbxContent>
                  </v:textbox>
                </v:shape>
              </v:group>
            </w:pict>
          </mc:Fallback>
        </mc:AlternateContent>
      </w:r>
      <w:r>
        <w:rPr>
          <w:color w:val="FF0000"/>
          <w:sz w:val="24"/>
        </w:rPr>
        <mc:AlternateContent>
          <mc:Choice Requires="wps">
            <w:drawing>
              <wp:anchor distT="0" distB="0" distL="114300" distR="114300" simplePos="0" relativeHeight="251671552" behindDoc="0" locked="0" layoutInCell="1" allowOverlap="1">
                <wp:simplePos x="0" y="0"/>
                <wp:positionH relativeFrom="column">
                  <wp:posOffset>4183380</wp:posOffset>
                </wp:positionH>
                <wp:positionV relativeFrom="paragraph">
                  <wp:posOffset>1333500</wp:posOffset>
                </wp:positionV>
                <wp:extent cx="1182370" cy="421640"/>
                <wp:effectExtent l="4445" t="4445" r="13335" b="393065"/>
                <wp:wrapNone/>
                <wp:docPr id="56" name="矩形标注 56"/>
                <wp:cNvGraphicFramePr/>
                <a:graphic xmlns:a="http://schemas.openxmlformats.org/drawingml/2006/main">
                  <a:graphicData uri="http://schemas.microsoft.com/office/word/2010/wordprocessingShape">
                    <wps:wsp>
                      <wps:cNvSpPr/>
                      <wps:spPr>
                        <a:xfrm>
                          <a:off x="0" y="0"/>
                          <a:ext cx="1182370" cy="421640"/>
                        </a:xfrm>
                        <a:prstGeom prst="wedgeRectCallout">
                          <a:avLst>
                            <a:gd name="adj1" fmla="val -45704"/>
                            <a:gd name="adj2" fmla="val 137199"/>
                          </a:avLst>
                        </a:prstGeom>
                        <a:solidFill>
                          <a:srgbClr val="FFFFFF"/>
                        </a:solidFill>
                        <a:ln w="9525" cap="flat" cmpd="sng">
                          <a:solidFill>
                            <a:srgbClr val="00B050"/>
                          </a:solidFill>
                          <a:prstDash val="solid"/>
                          <a:miter/>
                          <a:headEnd type="none" w="med" len="med"/>
                          <a:tailEnd type="triangle" w="lg" len="lg"/>
                        </a:ln>
                      </wps:spPr>
                      <wps:txbx>
                        <w:txbxContent>
                          <w:p w14:paraId="1CFF913D">
                            <w:pPr>
                              <w:rPr>
                                <w:rFonts w:hint="default" w:eastAsia="宋体"/>
                                <w:lang w:val="en-US" w:eastAsia="zh-CN"/>
                              </w:rPr>
                            </w:pPr>
                            <w:r>
                              <w:rPr>
                                <w:rFonts w:hint="eastAsia"/>
                                <w:lang w:val="en-US" w:eastAsia="zh-CN"/>
                              </w:rPr>
                              <w:t>项目所在地</w:t>
                            </w:r>
                          </w:p>
                        </w:txbxContent>
                      </wps:txbx>
                      <wps:bodyPr upright="1"/>
                    </wps:wsp>
                  </a:graphicData>
                </a:graphic>
              </wp:anchor>
            </w:drawing>
          </mc:Choice>
          <mc:Fallback>
            <w:pict>
              <v:shape id="_x0000_s1026" o:spid="_x0000_s1026" o:spt="61" type="#_x0000_t61" style="position:absolute;left:0pt;margin-left:329.4pt;margin-top:105pt;height:33.2pt;width:93.1pt;z-index:251671552;mso-width-relative:page;mso-height-relative:page;" fillcolor="#FFFFFF" filled="t" stroked="t" coordsize="21600,21600" o:gfxdata="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mxwQa2wAAAAsBAAAPAAAA&#10;AAAAAAEAIAAAACIAAABkcnMvZG93bnJldi54bWxQSwECFAAUAAAACACHTuJAIIQ3JEsCAACSBAAA&#10;DgAAAAAAAAABACAAAAAqAQAAZHJzL2Uyb0RvYy54bWxQSwUGAAAAAAYABgBZAQAA5wUAAAAA&#10;" adj="928,40435">
                <v:fill on="t" focussize="0,0"/>
                <v:stroke color="#00B050" joinstyle="miter" endarrow="block" endarrowwidth="wide" endarrowlength="long"/>
                <v:imagedata o:title=""/>
                <o:lock v:ext="edit" aspectratio="f"/>
                <v:textbox>
                  <w:txbxContent>
                    <w:p w14:paraId="1CFF913D">
                      <w:pPr>
                        <w:rPr>
                          <w:rFonts w:hint="default" w:eastAsia="宋体"/>
                          <w:lang w:val="en-US" w:eastAsia="zh-CN"/>
                        </w:rPr>
                      </w:pPr>
                      <w:r>
                        <w:rPr>
                          <w:rFonts w:hint="eastAsia"/>
                          <w:lang w:val="en-US" w:eastAsia="zh-CN"/>
                        </w:rPr>
                        <w:t>项目所在地</w:t>
                      </w:r>
                    </w:p>
                  </w:txbxContent>
                </v:textbox>
              </v:shape>
            </w:pict>
          </mc:Fallback>
        </mc:AlternateContent>
      </w:r>
      <w:r>
        <w:rPr>
          <w:color w:val="FF0000"/>
          <w:sz w:val="24"/>
        </w:rPr>
        <w:drawing>
          <wp:inline distT="0" distB="0" distL="114300" distR="114300">
            <wp:extent cx="8096885" cy="5302885"/>
            <wp:effectExtent l="0" t="0" r="18415" b="12065"/>
            <wp:docPr id="52" name="图片 22" descr="附图1地理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2" descr="附图1地理位置图"/>
                    <pic:cNvPicPr>
                      <a:picLocks noChangeAspect="1"/>
                    </pic:cNvPicPr>
                  </pic:nvPicPr>
                  <pic:blipFill>
                    <a:blip r:embed="rId27"/>
                    <a:stretch>
                      <a:fillRect/>
                    </a:stretch>
                  </pic:blipFill>
                  <pic:spPr>
                    <a:xfrm>
                      <a:off x="0" y="0"/>
                      <a:ext cx="8096885" cy="5302885"/>
                    </a:xfrm>
                    <a:prstGeom prst="rect">
                      <a:avLst/>
                    </a:prstGeom>
                    <a:noFill/>
                    <a:ln>
                      <a:noFill/>
                    </a:ln>
                  </pic:spPr>
                </pic:pic>
              </a:graphicData>
            </a:graphic>
          </wp:inline>
        </w:drawing>
      </w:r>
    </w:p>
    <w:p w14:paraId="671EA0B7">
      <w:pPr>
        <w:pStyle w:val="10"/>
        <w:keepNext w:val="0"/>
        <w:keepLines w:val="0"/>
        <w:pageBreakBefore w:val="0"/>
        <w:widowControl/>
        <w:kinsoku/>
        <w:wordWrap/>
        <w:overflowPunct/>
        <w:topLinePunct w:val="0"/>
        <w:autoSpaceDE/>
        <w:autoSpaceDN/>
        <w:bidi w:val="0"/>
        <w:adjustRightInd w:val="0"/>
        <w:snapToGrid w:val="0"/>
        <w:spacing w:after="0"/>
        <w:jc w:val="left"/>
        <w:textAlignment w:val="auto"/>
        <w:outlineLvl w:val="1"/>
        <w:rPr>
          <w:rFonts w:hint="default" w:ascii="Times New Roman" w:hAnsi="Times New Roman" w:eastAsia="宋体" w:cs="Times New Roman"/>
          <w:b/>
          <w:bCs/>
          <w:color w:val="auto"/>
          <w:sz w:val="28"/>
          <w:szCs w:val="28"/>
          <w:lang w:val="en-US" w:eastAsia="zh-CN" w:bidi="ar-SA"/>
        </w:rPr>
      </w:pPr>
      <w:r>
        <w:rPr>
          <w:rFonts w:hint="default" w:ascii="Times New Roman" w:hAnsi="Times New Roman" w:eastAsia="宋体" w:cs="Times New Roman"/>
          <w:b/>
          <w:bCs/>
          <w:color w:val="auto"/>
          <w:sz w:val="28"/>
          <w:szCs w:val="28"/>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paragraph">
                  <wp:posOffset>5840095</wp:posOffset>
                </wp:positionV>
                <wp:extent cx="8515350" cy="438150"/>
                <wp:effectExtent l="0" t="0" r="6350" b="6350"/>
                <wp:wrapNone/>
                <wp:docPr id="108" name="文本框 108"/>
                <wp:cNvGraphicFramePr/>
                <a:graphic xmlns:a="http://schemas.openxmlformats.org/drawingml/2006/main">
                  <a:graphicData uri="http://schemas.microsoft.com/office/word/2010/wordprocessingShape">
                    <wps:wsp>
                      <wps:cNvSpPr txBox="1"/>
                      <wps:spPr>
                        <a:xfrm>
                          <a:off x="0" y="0"/>
                          <a:ext cx="8515350" cy="438150"/>
                        </a:xfrm>
                        <a:prstGeom prst="rect">
                          <a:avLst/>
                        </a:prstGeom>
                        <a:solidFill>
                          <a:srgbClr val="FFFFFF"/>
                        </a:solidFill>
                        <a:ln>
                          <a:noFill/>
                        </a:ln>
                      </wps:spPr>
                      <wps:txbx>
                        <w:txbxContent>
                          <w:p w14:paraId="523CADDB">
                            <w:pPr>
                              <w:rPr>
                                <w:rFonts w:hint="default"/>
                              </w:rPr>
                            </w:pPr>
                          </w:p>
                        </w:txbxContent>
                      </wps:txbx>
                      <wps:bodyPr upright="1"/>
                    </wps:wsp>
                  </a:graphicData>
                </a:graphic>
              </wp:anchor>
            </w:drawing>
          </mc:Choice>
          <mc:Fallback>
            <w:pict>
              <v:shape id="_x0000_s1026" o:spid="_x0000_s1026" o:spt="202" type="#_x0000_t202" style="position:absolute;left:0pt;margin-left:2.2pt;margin-top:459.85pt;height:34.5pt;width:670.5pt;z-index:251660288;mso-width-relative:page;mso-height-relative:page;" fillcolor="#FFFFFF" filled="t" stroked="f" coordsize="21600,21600" o:gfxdata="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KNRTPXAAAACgEAAA8AAAAAAAAAAQAgAAAAIgAAAGRycy9kb3ducmV2Lnht&#10;bFBLAQIUABQAAAAIAIdO4kCmZaF9wQEAAHsDAAAOAAAAAAAAAAEAIAAAACYBAABkcnMvZTJvRG9j&#10;LnhtbFBLBQYAAAAABgAGAFkBAABZBQAAAAA=&#10;">
                <v:fill on="t" focussize="0,0"/>
                <v:stroke on="f"/>
                <v:imagedata o:title=""/>
                <o:lock v:ext="edit" aspectratio="f"/>
                <v:textbox>
                  <w:txbxContent>
                    <w:p w14:paraId="523CADDB">
                      <w:pPr>
                        <w:rPr>
                          <w:rFonts w:hint="default"/>
                        </w:rPr>
                      </w:pPr>
                    </w:p>
                  </w:txbxContent>
                </v:textbox>
              </v:shape>
            </w:pict>
          </mc:Fallback>
        </mc:AlternateContent>
      </w:r>
      <w:r>
        <w:rPr>
          <w:rFonts w:hint="default" w:ascii="Times New Roman" w:hAnsi="Times New Roman" w:eastAsia="宋体" w:cs="Times New Roman"/>
          <w:b/>
          <w:bCs/>
          <w:color w:val="auto"/>
          <w:sz w:val="28"/>
          <w:szCs w:val="28"/>
          <w:lang w:val="en-US" w:eastAsia="zh-CN" w:bidi="ar-SA"/>
        </w:rPr>
        <w:t>附图2 项目周边概况图</w:t>
      </w:r>
    </w:p>
    <w:p w14:paraId="428F880E">
      <w:pPr>
        <w:pStyle w:val="2"/>
        <w:jc w:val="center"/>
        <w:rPr>
          <w:rFonts w:hint="default"/>
        </w:rPr>
      </w:pPr>
      <w:r>
        <w:rPr>
          <w:color w:val="FF0000"/>
          <w:sz w:val="24"/>
        </w:rPr>
        <mc:AlternateContent>
          <mc:Choice Requires="wpg">
            <w:drawing>
              <wp:anchor distT="0" distB="0" distL="114300" distR="114300" simplePos="0" relativeHeight="251686912" behindDoc="0" locked="0" layoutInCell="1" allowOverlap="1">
                <wp:simplePos x="0" y="0"/>
                <wp:positionH relativeFrom="column">
                  <wp:posOffset>7009765</wp:posOffset>
                </wp:positionH>
                <wp:positionV relativeFrom="paragraph">
                  <wp:posOffset>4008755</wp:posOffset>
                </wp:positionV>
                <wp:extent cx="1426845" cy="1167765"/>
                <wp:effectExtent l="0" t="0" r="0" b="13335"/>
                <wp:wrapNone/>
                <wp:docPr id="53" name="组合 53"/>
                <wp:cNvGraphicFramePr/>
                <a:graphic xmlns:a="http://schemas.openxmlformats.org/drawingml/2006/main">
                  <a:graphicData uri="http://schemas.microsoft.com/office/word/2010/wordprocessingGroup">
                    <wpg:wgp>
                      <wpg:cNvGrpSpPr/>
                      <wpg:grpSpPr>
                        <a:xfrm>
                          <a:off x="0" y="0"/>
                          <a:ext cx="1426845" cy="1167765"/>
                          <a:chOff x="13001" y="62341"/>
                          <a:chExt cx="1838" cy="1438"/>
                        </a:xfrm>
                      </wpg:grpSpPr>
                      <wpg:grpSp>
                        <wpg:cNvPr id="44" name="组合 44"/>
                        <wpg:cNvGrpSpPr/>
                        <wpg:grpSpPr>
                          <a:xfrm>
                            <a:off x="13001" y="62341"/>
                            <a:ext cx="1838" cy="1438"/>
                            <a:chOff x="13001" y="62341"/>
                            <a:chExt cx="1838" cy="1438"/>
                          </a:xfrm>
                        </wpg:grpSpPr>
                        <wpg:grpSp>
                          <wpg:cNvPr id="40" name="组合 40"/>
                          <wpg:cNvGrpSpPr/>
                          <wpg:grpSpPr>
                            <a:xfrm>
                              <a:off x="13001" y="62341"/>
                              <a:ext cx="1736" cy="1438"/>
                              <a:chOff x="13001" y="62341"/>
                              <a:chExt cx="1736" cy="1438"/>
                            </a:xfrm>
                          </wpg:grpSpPr>
                          <wps:wsp>
                            <wps:cNvPr id="22" name="矩形 22"/>
                            <wps:cNvSpPr/>
                            <wps:spPr>
                              <a:xfrm>
                                <a:off x="13001" y="62341"/>
                                <a:ext cx="1737" cy="1439"/>
                              </a:xfrm>
                              <a:prstGeom prst="rect">
                                <a:avLst/>
                              </a:prstGeom>
                              <a:solidFill>
                                <a:srgbClr val="FFFFFF">
                                  <a:alpha val="50000"/>
                                </a:srgbClr>
                              </a:solidFill>
                              <a:ln w="25400">
                                <a:noFill/>
                              </a:ln>
                            </wps:spPr>
                            <wps:bodyPr anchor="ctr" anchorCtr="0" upright="1"/>
                          </wps:wsp>
                          <wps:wsp>
                            <wps:cNvPr id="23" name="文本框 23"/>
                            <wps:cNvSpPr txBox="1"/>
                            <wps:spPr>
                              <a:xfrm>
                                <a:off x="13001" y="62375"/>
                                <a:ext cx="725" cy="430"/>
                              </a:xfrm>
                              <a:prstGeom prst="rect">
                                <a:avLst/>
                              </a:prstGeom>
                              <a:noFill/>
                              <a:ln w="6350">
                                <a:noFill/>
                              </a:ln>
                            </wps:spPr>
                            <wps:txbx>
                              <w:txbxContent>
                                <w:p w14:paraId="68146F95">
                                  <w:pPr>
                                    <w:rPr>
                                      <w:rFonts w:hint="default" w:eastAsia="宋体"/>
                                      <w:b/>
                                      <w:bCs/>
                                      <w:lang w:val="en-US" w:eastAsia="zh-CN"/>
                                    </w:rPr>
                                  </w:pPr>
                                  <w:r>
                                    <w:rPr>
                                      <w:rFonts w:hint="eastAsia"/>
                                      <w:b/>
                                      <w:bCs/>
                                      <w:lang w:val="en-US" w:eastAsia="zh-CN"/>
                                    </w:rPr>
                                    <w:t>图例</w:t>
                                  </w:r>
                                </w:p>
                              </w:txbxContent>
                            </wps:txbx>
                            <wps:bodyPr upright="1"/>
                          </wps:wsp>
                          <wps:wsp>
                            <wps:cNvPr id="24" name="矩形 24"/>
                            <wps:cNvSpPr/>
                            <wps:spPr>
                              <a:xfrm>
                                <a:off x="13138" y="62873"/>
                                <a:ext cx="438" cy="250"/>
                              </a:xfrm>
                              <a:prstGeom prst="rect">
                                <a:avLst/>
                              </a:prstGeom>
                              <a:noFill/>
                              <a:ln w="25400" cap="flat" cmpd="sng">
                                <a:solidFill>
                                  <a:srgbClr val="FF0000"/>
                                </a:solidFill>
                                <a:prstDash val="solid"/>
                                <a:round/>
                                <a:headEnd type="none" w="med" len="med"/>
                                <a:tailEnd type="none" w="med" len="med"/>
                              </a:ln>
                            </wps:spPr>
                            <wps:bodyPr anchor="ctr" anchorCtr="0" upright="1"/>
                          </wps:wsp>
                          <wps:wsp>
                            <wps:cNvPr id="30" name="椭圆 30"/>
                            <wps:cNvSpPr/>
                            <wps:spPr>
                              <a:xfrm>
                                <a:off x="13163" y="63238"/>
                                <a:ext cx="400" cy="388"/>
                              </a:xfrm>
                              <a:prstGeom prst="ellipse">
                                <a:avLst/>
                              </a:prstGeom>
                              <a:noFill/>
                              <a:ln w="25400" cap="flat" cmpd="sng">
                                <a:solidFill>
                                  <a:srgbClr val="FFAA00"/>
                                </a:solidFill>
                                <a:prstDash val="solid"/>
                                <a:round/>
                                <a:headEnd type="none" w="med" len="med"/>
                                <a:tailEnd type="none" w="med" len="med"/>
                              </a:ln>
                            </wps:spPr>
                            <wps:bodyPr anchor="ctr" anchorCtr="0" upright="1"/>
                          </wps:wsp>
                        </wpg:grpSp>
                        <wps:wsp>
                          <wps:cNvPr id="43" name="文本框 43"/>
                          <wps:cNvSpPr txBox="1"/>
                          <wps:spPr>
                            <a:xfrm>
                              <a:off x="13479" y="62777"/>
                              <a:ext cx="1361" cy="430"/>
                            </a:xfrm>
                            <a:prstGeom prst="rect">
                              <a:avLst/>
                            </a:prstGeom>
                            <a:noFill/>
                            <a:ln w="6350">
                              <a:noFill/>
                            </a:ln>
                          </wps:spPr>
                          <wps:txbx>
                            <w:txbxContent>
                              <w:p w14:paraId="4EC4F6B8">
                                <w:pPr>
                                  <w:ind w:firstLine="210" w:firstLineChars="100"/>
                                  <w:rPr>
                                    <w:rFonts w:hint="default" w:eastAsia="宋体"/>
                                    <w:b/>
                                    <w:bCs/>
                                    <w:sz w:val="21"/>
                                    <w:szCs w:val="21"/>
                                    <w:lang w:val="en-US" w:eastAsia="zh-CN"/>
                                  </w:rPr>
                                </w:pPr>
                                <w:r>
                                  <w:rPr>
                                    <w:rFonts w:hint="eastAsia"/>
                                    <w:b/>
                                    <w:bCs/>
                                    <w:sz w:val="21"/>
                                    <w:szCs w:val="21"/>
                                    <w:lang w:val="en-US" w:eastAsia="zh-CN"/>
                                  </w:rPr>
                                  <w:t>项目所在地</w:t>
                                </w:r>
                              </w:p>
                            </w:txbxContent>
                          </wps:txbx>
                          <wps:bodyPr upright="1"/>
                        </wps:wsp>
                      </wpg:grpSp>
                      <wps:wsp>
                        <wps:cNvPr id="45" name="文本框 45"/>
                        <wps:cNvSpPr txBox="1"/>
                        <wps:spPr>
                          <a:xfrm>
                            <a:off x="13473" y="63234"/>
                            <a:ext cx="1361" cy="430"/>
                          </a:xfrm>
                          <a:prstGeom prst="rect">
                            <a:avLst/>
                          </a:prstGeom>
                          <a:noFill/>
                          <a:ln w="6350">
                            <a:noFill/>
                          </a:ln>
                        </wps:spPr>
                        <wps:txbx>
                          <w:txbxContent>
                            <w:p w14:paraId="42DF20ED">
                              <w:pPr>
                                <w:ind w:firstLine="180" w:firstLineChars="100"/>
                                <w:rPr>
                                  <w:rFonts w:hint="default" w:eastAsia="宋体"/>
                                  <w:b/>
                                  <w:bCs/>
                                  <w:sz w:val="18"/>
                                  <w:szCs w:val="18"/>
                                  <w:lang w:val="en-US" w:eastAsia="zh-CN"/>
                                </w:rPr>
                              </w:pPr>
                              <w:r>
                                <w:rPr>
                                  <w:rFonts w:hint="eastAsia"/>
                                  <w:b/>
                                  <w:bCs/>
                                  <w:sz w:val="18"/>
                                  <w:szCs w:val="18"/>
                                  <w:lang w:val="en-US" w:eastAsia="zh-CN"/>
                                </w:rPr>
                                <w:t>500m范围线</w:t>
                              </w:r>
                            </w:p>
                          </w:txbxContent>
                        </wps:txbx>
                        <wps:bodyPr upright="1"/>
                      </wps:wsp>
                    </wpg:wgp>
                  </a:graphicData>
                </a:graphic>
              </wp:anchor>
            </w:drawing>
          </mc:Choice>
          <mc:Fallback>
            <w:pict>
              <v:group id="_x0000_s1026" o:spid="_x0000_s1026" o:spt="203" style="position:absolute;left:0pt;margin-left:551.95pt;margin-top:315.65pt;height:91.95pt;width:112.35pt;z-index:251686912;mso-width-relative:page;mso-height-relative:page;" coordorigin="13001,62341" coordsize="1838,1438" o:gfxdata="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">
                <o:lock v:ext="edit" aspectratio="f"/>
                <v:group id="_x0000_s1026" o:spid="_x0000_s1026" o:spt="203" style="position:absolute;left:13001;top:62341;height:1438;width:1838;" coordorigin="13001,62341" coordsize="1838,1438" o:gfxdata="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oa4C7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13001;top:62341;height:1438;width:1736;" coordorigin="13001,62341" coordsize="1736,1438"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rect id="_x0000_s1026" o:spid="_x0000_s1026" o:spt="1" style="position:absolute;left:13001;top:62341;height:1439;width:1737;v-text-anchor:middle;" fillcolor="#FFFFFF" filled="t" stroked="f" coordsize="21600,21600" o:gfxdata="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o1W/y/&#10;AAAA2wAAAA8AAAAAAAAAAQAgAAAAIgAAAGRycy9kb3ducmV2LnhtbFBLAQIUABQAAAAIAIdO4kAz&#10;LwWeOwAAADkAAAAQAAAAAAAAAAEAIAAAAA4BAABkcnMvc2hhcGV4bWwueG1sUEsFBgAAAAAGAAYA&#10;WwEAALgDAAAAAA==&#10;">
                      <v:fill on="t" opacity="32768f" focussize="0,0"/>
                      <v:stroke on="f" weight="2pt"/>
                      <v:imagedata o:title=""/>
                      <o:lock v:ext="edit" aspectratio="f"/>
                    </v:rect>
                    <v:shape id="_x0000_s1026" o:spid="_x0000_s1026" o:spt="202" type="#_x0000_t202" style="position:absolute;left:13001;top:62375;height:430;width:725;" filled="f" stroked="f" coordsize="21600,21600" o:gfxdata="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ZodS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68146F95">
                            <w:pPr>
                              <w:rPr>
                                <w:rFonts w:hint="default" w:eastAsia="宋体"/>
                                <w:b/>
                                <w:bCs/>
                                <w:lang w:val="en-US" w:eastAsia="zh-CN"/>
                              </w:rPr>
                            </w:pPr>
                            <w:r>
                              <w:rPr>
                                <w:rFonts w:hint="eastAsia"/>
                                <w:b/>
                                <w:bCs/>
                                <w:lang w:val="en-US" w:eastAsia="zh-CN"/>
                              </w:rPr>
                              <w:t>图例</w:t>
                            </w:r>
                          </w:p>
                        </w:txbxContent>
                      </v:textbox>
                    </v:shape>
                    <v:rect id="_x0000_s1026" o:spid="_x0000_s1026" o:spt="1" style="position:absolute;left:13138;top:62873;height:250;width:438;v-text-anchor:middle;" filled="f" stroked="t" coordsize="21600,21600" o:gfxdata="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dDvQAA&#10;ANsAAAAPAAAAAAAAAAEAIAAAACIAAABkcnMvZG93bnJldi54bWxQSwECFAAUAAAACACHTuJAMy8F&#10;njsAAAA5AAAAEAAAAAAAAAABACAAAAAMAQAAZHJzL3NoYXBleG1sLnhtbFBLBQYAAAAABgAGAFsB&#10;AAC2AwAAAAA=&#10;">
                      <v:fill on="f" focussize="0,0"/>
                      <v:stroke weight="2pt" color="#FF0000" joinstyle="round"/>
                      <v:imagedata o:title=""/>
                      <o:lock v:ext="edit" aspectratio="f"/>
                    </v:rect>
                    <v:shape id="_x0000_s1026" o:spid="_x0000_s1026" o:spt="3" type="#_x0000_t3" style="position:absolute;left:13163;top:63238;height:388;width:400;v-text-anchor:middle;" filled="f" stroked="t" coordsize="21600,21600" o:gfxdata="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xM+U7sAAADb&#10;AAAADwAAAAAAAAABACAAAAAiAAAAZHJzL2Rvd25yZXYueG1sUEsBAhQAFAAAAAgAh07iQDMvBZ47&#10;AAAAOQAAABAAAAAAAAAAAQAgAAAACgEAAGRycy9zaGFwZXhtbC54bWxQSwUGAAAAAAYABgBbAQAA&#10;tAMAAAAA&#10;">
                      <v:fill on="f" focussize="0,0"/>
                      <v:stroke weight="2pt" color="#FFAA00" joinstyle="round"/>
                      <v:imagedata o:title=""/>
                      <o:lock v:ext="edit" aspectratio="f"/>
                    </v:shape>
                  </v:group>
                  <v:shape id="_x0000_s1026" o:spid="_x0000_s1026" o:spt="202" type="#_x0000_t202" style="position:absolute;left:13479;top:62777;height:430;width:1361;" filled="f" stroked="f" coordsize="21600,21600" o:gfxdata="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EX46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4EC4F6B8">
                          <w:pPr>
                            <w:ind w:firstLine="210" w:firstLineChars="100"/>
                            <w:rPr>
                              <w:rFonts w:hint="default" w:eastAsia="宋体"/>
                              <w:b/>
                              <w:bCs/>
                              <w:sz w:val="21"/>
                              <w:szCs w:val="21"/>
                              <w:lang w:val="en-US" w:eastAsia="zh-CN"/>
                            </w:rPr>
                          </w:pPr>
                          <w:r>
                            <w:rPr>
                              <w:rFonts w:hint="eastAsia"/>
                              <w:b/>
                              <w:bCs/>
                              <w:sz w:val="21"/>
                              <w:szCs w:val="21"/>
                              <w:lang w:val="en-US" w:eastAsia="zh-CN"/>
                            </w:rPr>
                            <w:t>项目所在地</w:t>
                          </w:r>
                        </w:p>
                      </w:txbxContent>
                    </v:textbox>
                  </v:shape>
                </v:group>
                <v:shape id="_x0000_s1026" o:spid="_x0000_s1026" o:spt="202" type="#_x0000_t202" style="position:absolute;left:13473;top:63234;height:430;width:1361;" filled="f" stroked="f" coordsize="21600,21600" o:gfxdata="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jgxQW/&#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42DF20ED">
                        <w:pPr>
                          <w:ind w:firstLine="180" w:firstLineChars="100"/>
                          <w:rPr>
                            <w:rFonts w:hint="default" w:eastAsia="宋体"/>
                            <w:b/>
                            <w:bCs/>
                            <w:sz w:val="18"/>
                            <w:szCs w:val="18"/>
                            <w:lang w:val="en-US" w:eastAsia="zh-CN"/>
                          </w:rPr>
                        </w:pPr>
                        <w:r>
                          <w:rPr>
                            <w:rFonts w:hint="eastAsia"/>
                            <w:b/>
                            <w:bCs/>
                            <w:sz w:val="18"/>
                            <w:szCs w:val="18"/>
                            <w:lang w:val="en-US" w:eastAsia="zh-CN"/>
                          </w:rPr>
                          <w:t>500m范围线</w:t>
                        </w:r>
                      </w:p>
                    </w:txbxContent>
                  </v:textbox>
                </v:shape>
              </v:group>
            </w:pict>
          </mc:Fallback>
        </mc:AlternateContent>
      </w:r>
      <w:r>
        <w:rPr>
          <w:rFonts w:hint="default" w:ascii="Times New Roman" w:hAnsi="Times New Roman" w:eastAsia="宋体" w:cs="Times New Roman"/>
          <w:color w:val="auto"/>
          <w:sz w:val="21"/>
        </w:rPr>
        <mc:AlternateContent>
          <mc:Choice Requires="wps">
            <w:drawing>
              <wp:anchor distT="0" distB="0" distL="114300" distR="114300" simplePos="0" relativeHeight="251685888" behindDoc="0" locked="0" layoutInCell="1" allowOverlap="1">
                <wp:simplePos x="0" y="0"/>
                <wp:positionH relativeFrom="column">
                  <wp:posOffset>7550785</wp:posOffset>
                </wp:positionH>
                <wp:positionV relativeFrom="paragraph">
                  <wp:posOffset>321945</wp:posOffset>
                </wp:positionV>
                <wp:extent cx="358140" cy="40386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358140" cy="403860"/>
                        </a:xfrm>
                        <a:prstGeom prst="rect">
                          <a:avLst/>
                        </a:prstGeom>
                        <a:noFill/>
                        <a:ln>
                          <a:noFill/>
                        </a:ln>
                      </wps:spPr>
                      <wps:txbx>
                        <w:txbxContent>
                          <w:p w14:paraId="30DE7ED1">
                            <w:pPr>
                              <w:rPr>
                                <w:rFonts w:hint="default" w:eastAsia="宋体"/>
                                <w:color w:val="FFFFFF"/>
                                <w:sz w:val="44"/>
                                <w:szCs w:val="44"/>
                                <w:lang w:val="en-US" w:eastAsia="zh-CN"/>
                              </w:rPr>
                            </w:pPr>
                            <w:r>
                              <w:rPr>
                                <w:rFonts w:hint="eastAsia"/>
                                <w:color w:val="FFFFFF"/>
                                <w:sz w:val="44"/>
                                <w:szCs w:val="44"/>
                                <w:lang w:val="en-US" w:eastAsia="zh-CN"/>
                              </w:rPr>
                              <w:t>N</w:t>
                            </w:r>
                          </w:p>
                        </w:txbxContent>
                      </wps:txbx>
                      <wps:bodyPr upright="1"/>
                    </wps:wsp>
                  </a:graphicData>
                </a:graphic>
              </wp:anchor>
            </w:drawing>
          </mc:Choice>
          <mc:Fallback>
            <w:pict>
              <v:shape id="_x0000_s1026" o:spid="_x0000_s1026" o:spt="202" type="#_x0000_t202" style="position:absolute;left:0pt;margin-left:594.55pt;margin-top:25.35pt;height:31.8pt;width:28.2pt;z-index:251685888;mso-width-relative:page;mso-height-relative:page;" filled="f" stroked="f" coordsize="21600,21600" o:gfxdata="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EdSti1wAA&#10;AAwBAAAPAAAAAAAAAAEAIAAAACIAAABkcnMvZG93bnJldi54bWxQSwECFAAUAAAACACHTuJAYROu&#10;wa0BAABPAwAADgAAAAAAAAABACAAAAAmAQAAZHJzL2Uyb0RvYy54bWxQSwUGAAAAAAYABgBZAQAA&#10;RQUAAAAA&#10;">
                <v:fill on="f" focussize="0,0"/>
                <v:stroke on="f"/>
                <v:imagedata o:title=""/>
                <o:lock v:ext="edit" aspectratio="f"/>
                <v:textbox>
                  <w:txbxContent>
                    <w:p w14:paraId="30DE7ED1">
                      <w:pPr>
                        <w:rPr>
                          <w:rFonts w:hint="default" w:eastAsia="宋体"/>
                          <w:color w:val="FFFFFF"/>
                          <w:sz w:val="44"/>
                          <w:szCs w:val="44"/>
                          <w:lang w:val="en-US" w:eastAsia="zh-CN"/>
                        </w:rPr>
                      </w:pPr>
                      <w:r>
                        <w:rPr>
                          <w:rFonts w:hint="eastAsia"/>
                          <w:color w:val="FFFFFF"/>
                          <w:sz w:val="44"/>
                          <w:szCs w:val="44"/>
                          <w:lang w:val="en-US" w:eastAsia="zh-CN"/>
                        </w:rPr>
                        <w:t>N</w:t>
                      </w:r>
                    </w:p>
                  </w:txbxContent>
                </v:textbox>
              </v:shape>
            </w:pict>
          </mc:Fallback>
        </mc:AlternateContent>
      </w:r>
      <w:r>
        <w:rPr>
          <w:rFonts w:hint="default" w:ascii="Times New Roman" w:hAnsi="Times New Roman" w:eastAsia="宋体" w:cs="Times New Roman"/>
          <w:color w:val="auto"/>
          <w:sz w:val="21"/>
        </w:rPr>
        <mc:AlternateContent>
          <mc:Choice Requires="wps">
            <w:drawing>
              <wp:anchor distT="0" distB="0" distL="114300" distR="114300" simplePos="0" relativeHeight="251684864" behindDoc="0" locked="0" layoutInCell="1" allowOverlap="1">
                <wp:simplePos x="0" y="0"/>
                <wp:positionH relativeFrom="column">
                  <wp:posOffset>7940040</wp:posOffset>
                </wp:positionH>
                <wp:positionV relativeFrom="paragraph">
                  <wp:posOffset>189230</wp:posOffset>
                </wp:positionV>
                <wp:extent cx="166370" cy="611505"/>
                <wp:effectExtent l="8255" t="10160" r="15875" b="6985"/>
                <wp:wrapNone/>
                <wp:docPr id="19" name="上箭头 19"/>
                <wp:cNvGraphicFramePr/>
                <a:graphic xmlns:a="http://schemas.openxmlformats.org/drawingml/2006/main">
                  <a:graphicData uri="http://schemas.microsoft.com/office/word/2010/wordprocessingShape">
                    <wps:wsp>
                      <wps:cNvSpPr/>
                      <wps:spPr>
                        <a:xfrm>
                          <a:off x="0" y="0"/>
                          <a:ext cx="166370" cy="611505"/>
                        </a:xfrm>
                        <a:prstGeom prst="upArrow">
                          <a:avLst>
                            <a:gd name="adj1" fmla="val 50000"/>
                            <a:gd name="adj2" fmla="val 91889"/>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_x0000_s1026" o:spid="_x0000_s1026" o:spt="68" type="#_x0000_t68" style="position:absolute;left:0pt;margin-left:625.2pt;margin-top:14.9pt;height:48.15pt;width:13.1pt;z-index:251684864;mso-width-relative:page;mso-height-relative:page;" fillcolor="#FFFFFF" filled="t" stroked="t" coordsize="21600,21600" o:gfxdata="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2EsyXZAAAADAEAAA8AAAAAAAAAAQAgAAAAIgAAAGRycy9kb3ducmV2LnhtbFBLAQIUABQA&#10;AAAIAIdO4kCttAR6KAIAAHYEAAAOAAAAAAAAAAEAIAAAACgBAABkcnMvZTJvRG9jLnhtbFBLBQYA&#10;AAAABgAGAFkBAADCBQAAAAA=&#10;" adj="5399,5400">
                <v:fill on="t" focussize="0,0"/>
                <v:stroke color="#000000" joinstyle="miter"/>
                <v:imagedata o:title=""/>
                <o:lock v:ext="edit" aspectratio="f"/>
              </v:shape>
            </w:pict>
          </mc:Fallback>
        </mc:AlternateContent>
      </w:r>
      <w:r>
        <w:rPr>
          <w:rFonts w:hint="eastAsia" w:ascii="Times New Roman" w:hAnsi="Times New Roman" w:eastAsia="宋体"/>
          <w:color w:val="FF0000"/>
          <w:sz w:val="28"/>
          <w:szCs w:val="28"/>
          <w:lang w:eastAsia="zh-CN"/>
        </w:rPr>
        <w:drawing>
          <wp:inline distT="0" distB="0" distL="114300" distR="114300">
            <wp:extent cx="8288020" cy="5104130"/>
            <wp:effectExtent l="0" t="0" r="17780" b="1270"/>
            <wp:docPr id="17" name="图片 4" descr="500米范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500米范围"/>
                    <pic:cNvPicPr>
                      <a:picLocks noChangeAspect="1"/>
                    </pic:cNvPicPr>
                  </pic:nvPicPr>
                  <pic:blipFill>
                    <a:blip r:embed="rId28"/>
                    <a:stretch>
                      <a:fillRect/>
                    </a:stretch>
                  </pic:blipFill>
                  <pic:spPr>
                    <a:xfrm>
                      <a:off x="0" y="0"/>
                      <a:ext cx="8288020" cy="5104130"/>
                    </a:xfrm>
                    <a:prstGeom prst="rect">
                      <a:avLst/>
                    </a:prstGeom>
                    <a:noFill/>
                    <a:ln>
                      <a:noFill/>
                    </a:ln>
                  </pic:spPr>
                </pic:pic>
              </a:graphicData>
            </a:graphic>
          </wp:inline>
        </w:drawing>
      </w:r>
    </w:p>
    <w:p w14:paraId="4CFBA298">
      <w:pPr>
        <w:pStyle w:val="10"/>
        <w:rPr>
          <w:rFonts w:hint="eastAsia" w:eastAsia="宋体"/>
          <w:color w:val="FF0000"/>
          <w:lang w:eastAsia="zh-CN"/>
        </w:rPr>
        <w:sectPr>
          <w:pgSz w:w="16838" w:h="11906" w:orient="landscape"/>
          <w:pgMar w:top="1531" w:right="1701" w:bottom="1531" w:left="1701" w:header="851" w:footer="850" w:gutter="0"/>
          <w:pgBorders>
            <w:top w:val="none" w:sz="0" w:space="0"/>
            <w:left w:val="none" w:sz="0" w:space="0"/>
            <w:bottom w:val="none" w:sz="0" w:space="0"/>
            <w:right w:val="none" w:sz="0" w:space="0"/>
          </w:pgBorders>
          <w:pgNumType w:fmt="decimal"/>
          <w:cols w:space="720" w:num="1"/>
          <w:docGrid w:linePitch="312" w:charSpace="0"/>
        </w:sectPr>
      </w:pPr>
      <w:r>
        <w:rPr>
          <w:color w:val="FF0000"/>
          <w:sz w:val="28"/>
        </w:rPr>
        <mc:AlternateContent>
          <mc:Choice Requires="wps">
            <w:drawing>
              <wp:anchor distT="0" distB="0" distL="114300" distR="114300" simplePos="0" relativeHeight="251669504" behindDoc="0" locked="0" layoutInCell="1" allowOverlap="1">
                <wp:simplePos x="0" y="0"/>
                <wp:positionH relativeFrom="column">
                  <wp:posOffset>4276090</wp:posOffset>
                </wp:positionH>
                <wp:positionV relativeFrom="paragraph">
                  <wp:posOffset>2442845</wp:posOffset>
                </wp:positionV>
                <wp:extent cx="1003300" cy="295910"/>
                <wp:effectExtent l="0" t="0" r="0" b="0"/>
                <wp:wrapNone/>
                <wp:docPr id="130" name="文本框 130"/>
                <wp:cNvGraphicFramePr/>
                <a:graphic xmlns:a="http://schemas.openxmlformats.org/drawingml/2006/main">
                  <a:graphicData uri="http://schemas.microsoft.com/office/word/2010/wordprocessingShape">
                    <wps:wsp>
                      <wps:cNvSpPr txBox="1"/>
                      <wps:spPr>
                        <a:xfrm>
                          <a:off x="0" y="0"/>
                          <a:ext cx="1003300" cy="295910"/>
                        </a:xfrm>
                        <a:prstGeom prst="rect">
                          <a:avLst/>
                        </a:prstGeom>
                        <a:noFill/>
                        <a:ln>
                          <a:noFill/>
                        </a:ln>
                      </wps:spPr>
                      <wps:txbx>
                        <w:txbxContent>
                          <w:p w14:paraId="34C523B9">
                            <w:pPr>
                              <w:jc w:val="center"/>
                              <w:rPr>
                                <w:rFonts w:hint="default" w:ascii="Times New Roman" w:hAnsi="Times New Roman" w:eastAsia="宋体" w:cs="Times New Roman"/>
                                <w:b/>
                                <w:bCs/>
                                <w:color w:val="FFFFFF"/>
                                <w:sz w:val="21"/>
                                <w:szCs w:val="21"/>
                                <w:lang w:val="en-US" w:eastAsia="zh-CN"/>
                              </w:rPr>
                            </w:pPr>
                            <w:r>
                              <w:rPr>
                                <w:rFonts w:hint="eastAsia" w:ascii="Times New Roman" w:hAnsi="Times New Roman" w:eastAsia="宋体" w:cs="Times New Roman"/>
                                <w:b/>
                                <w:bCs/>
                                <w:color w:val="FFFFFF"/>
                                <w:sz w:val="21"/>
                                <w:szCs w:val="21"/>
                                <w:lang w:val="en-US" w:eastAsia="zh-CN"/>
                              </w:rPr>
                              <w:t>在建厂房</w:t>
                            </w:r>
                          </w:p>
                        </w:txbxContent>
                      </wps:txbx>
                      <wps:bodyPr upright="1"/>
                    </wps:wsp>
                  </a:graphicData>
                </a:graphic>
              </wp:anchor>
            </w:drawing>
          </mc:Choice>
          <mc:Fallback>
            <w:pict>
              <v:shape id="_x0000_s1026" o:spid="_x0000_s1026" o:spt="202" type="#_x0000_t202" style="position:absolute;left:0pt;margin-left:336.7pt;margin-top:192.35pt;height:23.3pt;width:79pt;z-index:251669504;mso-width-relative:page;mso-height-relative:page;" filled="f" stroked="f" coordsize="21600,21600" o:gfxdata="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c1B5ZtgA&#10;AAALAQAADwAAAAAAAAABACAAAAAiAAAAZHJzL2Rvd25yZXYueG1sUEsBAhQAFAAAAAgAh07iQFPO&#10;mJWtAQAAUgMAAA4AAAAAAAAAAQAgAAAAJwEAAGRycy9lMm9Eb2MueG1sUEsFBgAAAAAGAAYAWQEA&#10;AEYFAAAAAA==&#10;">
                <v:fill on="f" focussize="0,0"/>
                <v:stroke on="f"/>
                <v:imagedata o:title=""/>
                <o:lock v:ext="edit" aspectratio="f"/>
                <v:textbox>
                  <w:txbxContent>
                    <w:p w14:paraId="34C523B9">
                      <w:pPr>
                        <w:jc w:val="center"/>
                        <w:rPr>
                          <w:rFonts w:hint="default" w:ascii="Times New Roman" w:hAnsi="Times New Roman" w:eastAsia="宋体" w:cs="Times New Roman"/>
                          <w:b/>
                          <w:bCs/>
                          <w:color w:val="FFFFFF"/>
                          <w:sz w:val="21"/>
                          <w:szCs w:val="21"/>
                          <w:lang w:val="en-US" w:eastAsia="zh-CN"/>
                        </w:rPr>
                      </w:pPr>
                      <w:r>
                        <w:rPr>
                          <w:rFonts w:hint="eastAsia" w:ascii="Times New Roman" w:hAnsi="Times New Roman" w:eastAsia="宋体" w:cs="Times New Roman"/>
                          <w:b/>
                          <w:bCs/>
                          <w:color w:val="FFFFFF"/>
                          <w:sz w:val="21"/>
                          <w:szCs w:val="21"/>
                          <w:lang w:val="en-US" w:eastAsia="zh-CN"/>
                        </w:rPr>
                        <w:t>在建厂房</w:t>
                      </w:r>
                    </w:p>
                  </w:txbxContent>
                </v:textbox>
              </v:shape>
            </w:pict>
          </mc:Fallback>
        </mc:AlternateContent>
      </w:r>
      <w:r>
        <w:rPr>
          <w:color w:val="FF0000"/>
          <w:sz w:val="28"/>
        </w:rPr>
        <mc:AlternateContent>
          <mc:Choice Requires="wps">
            <w:drawing>
              <wp:anchor distT="0" distB="0" distL="114300" distR="114300" simplePos="0" relativeHeight="251666432" behindDoc="0" locked="0" layoutInCell="1" allowOverlap="1">
                <wp:simplePos x="0" y="0"/>
                <wp:positionH relativeFrom="column">
                  <wp:posOffset>2341880</wp:posOffset>
                </wp:positionH>
                <wp:positionV relativeFrom="paragraph">
                  <wp:posOffset>4004310</wp:posOffset>
                </wp:positionV>
                <wp:extent cx="1351280" cy="53975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351280" cy="539750"/>
                        </a:xfrm>
                        <a:prstGeom prst="rect">
                          <a:avLst/>
                        </a:prstGeom>
                        <a:noFill/>
                        <a:ln>
                          <a:noFill/>
                        </a:ln>
                      </wps:spPr>
                      <wps:txbx>
                        <w:txbxContent>
                          <w:p w14:paraId="0D4EB79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FFFFFF"/>
                                <w:sz w:val="21"/>
                                <w:szCs w:val="21"/>
                                <w:lang w:eastAsia="zh-CN"/>
                              </w:rPr>
                            </w:pPr>
                            <w:r>
                              <w:rPr>
                                <w:rFonts w:hint="default" w:ascii="Times New Roman" w:hAnsi="Times New Roman" w:eastAsia="宋体" w:cs="Times New Roman"/>
                                <w:b/>
                                <w:bCs/>
                                <w:color w:val="FFFFFF"/>
                                <w:sz w:val="21"/>
                                <w:szCs w:val="21"/>
                                <w:lang w:eastAsia="zh-CN"/>
                              </w:rPr>
                              <w:t>黄山南糖</w:t>
                            </w:r>
                          </w:p>
                          <w:p w14:paraId="5CE9AA4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b/>
                                <w:bCs/>
                                <w:color w:val="FFFFFF"/>
                                <w:sz w:val="32"/>
                                <w:szCs w:val="32"/>
                                <w:lang w:eastAsia="zh-CN"/>
                              </w:rPr>
                            </w:pPr>
                            <w:r>
                              <w:rPr>
                                <w:rFonts w:hint="default" w:ascii="Times New Roman" w:hAnsi="Times New Roman" w:eastAsia="宋体" w:cs="Times New Roman"/>
                                <w:b/>
                                <w:bCs/>
                                <w:color w:val="FFFFFF"/>
                                <w:sz w:val="21"/>
                                <w:szCs w:val="21"/>
                                <w:lang w:eastAsia="zh-CN"/>
                              </w:rPr>
                              <w:t>日用品有限公司</w:t>
                            </w:r>
                          </w:p>
                        </w:txbxContent>
                      </wps:txbx>
                      <wps:bodyPr upright="1"/>
                    </wps:wsp>
                  </a:graphicData>
                </a:graphic>
              </wp:anchor>
            </w:drawing>
          </mc:Choice>
          <mc:Fallback>
            <w:pict>
              <v:shape id="_x0000_s1026" o:spid="_x0000_s1026" o:spt="202" type="#_x0000_t202" style="position:absolute;left:0pt;margin-left:184.4pt;margin-top:315.3pt;height:42.5pt;width:106.4pt;z-index:251666432;mso-width-relative:page;mso-height-relative:page;" filled="f" stroked="f" coordsize="21600,21600" o:gfxdata="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H2h3lDY&#10;AAAACwEAAA8AAAAAAAAAAQAgAAAAIgAAAGRycy9kb3ducmV2LnhtbFBLAQIUABQAAAAIAIdO4kAa&#10;MIUyrgEAAFADAAAOAAAAAAAAAAEAIAAAACcBAABkcnMvZTJvRG9jLnhtbFBLBQYAAAAABgAGAFkB&#10;AABHBQAAAAA=&#10;">
                <v:fill on="f" focussize="0,0"/>
                <v:stroke on="f"/>
                <v:imagedata o:title=""/>
                <o:lock v:ext="edit" aspectratio="f"/>
                <v:textbox>
                  <w:txbxContent>
                    <w:p w14:paraId="0D4EB798">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FFFFFF"/>
                          <w:sz w:val="21"/>
                          <w:szCs w:val="21"/>
                          <w:lang w:eastAsia="zh-CN"/>
                        </w:rPr>
                      </w:pPr>
                      <w:r>
                        <w:rPr>
                          <w:rFonts w:hint="default" w:ascii="Times New Roman" w:hAnsi="Times New Roman" w:eastAsia="宋体" w:cs="Times New Roman"/>
                          <w:b/>
                          <w:bCs/>
                          <w:color w:val="FFFFFF"/>
                          <w:sz w:val="21"/>
                          <w:szCs w:val="21"/>
                          <w:lang w:eastAsia="zh-CN"/>
                        </w:rPr>
                        <w:t>黄山南糖</w:t>
                      </w:r>
                    </w:p>
                    <w:p w14:paraId="5CE9AA49">
                      <w:pPr>
                        <w:keepNext w:val="0"/>
                        <w:keepLines w:val="0"/>
                        <w:pageBreakBefore w:val="0"/>
                        <w:widowControl/>
                        <w:kinsoku/>
                        <w:wordWrap/>
                        <w:overflowPunct/>
                        <w:topLinePunct w:val="0"/>
                        <w:autoSpaceDE/>
                        <w:autoSpaceDN/>
                        <w:bidi w:val="0"/>
                        <w:adjustRightInd w:val="0"/>
                        <w:snapToGrid w:val="0"/>
                        <w:spacing w:after="0"/>
                        <w:jc w:val="center"/>
                        <w:textAlignment w:val="auto"/>
                        <w:rPr>
                          <w:rFonts w:hint="eastAsia"/>
                          <w:b/>
                          <w:bCs/>
                          <w:color w:val="FFFFFF"/>
                          <w:sz w:val="32"/>
                          <w:szCs w:val="32"/>
                          <w:lang w:eastAsia="zh-CN"/>
                        </w:rPr>
                      </w:pPr>
                      <w:r>
                        <w:rPr>
                          <w:rFonts w:hint="default" w:ascii="Times New Roman" w:hAnsi="Times New Roman" w:eastAsia="宋体" w:cs="Times New Roman"/>
                          <w:b/>
                          <w:bCs/>
                          <w:color w:val="FFFFFF"/>
                          <w:sz w:val="21"/>
                          <w:szCs w:val="21"/>
                          <w:lang w:eastAsia="zh-CN"/>
                        </w:rPr>
                        <w:t>日用品有限公司</w:t>
                      </w:r>
                    </w:p>
                  </w:txbxContent>
                </v:textbox>
              </v:shape>
            </w:pict>
          </mc:Fallback>
        </mc:AlternateContent>
      </w:r>
      <w:r>
        <w:rPr>
          <w:color w:val="FF0000"/>
          <w:sz w:val="28"/>
        </w:rPr>
        <mc:AlternateContent>
          <mc:Choice Requires="wps">
            <w:drawing>
              <wp:anchor distT="0" distB="0" distL="114300" distR="114300" simplePos="0" relativeHeight="251668480" behindDoc="0" locked="0" layoutInCell="1" allowOverlap="1">
                <wp:simplePos x="0" y="0"/>
                <wp:positionH relativeFrom="column">
                  <wp:posOffset>5007610</wp:posOffset>
                </wp:positionH>
                <wp:positionV relativeFrom="paragraph">
                  <wp:posOffset>2842895</wp:posOffset>
                </wp:positionV>
                <wp:extent cx="1548765" cy="50165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548765" cy="501650"/>
                        </a:xfrm>
                        <a:prstGeom prst="rect">
                          <a:avLst/>
                        </a:prstGeom>
                        <a:noFill/>
                        <a:ln>
                          <a:noFill/>
                        </a:ln>
                      </wps:spPr>
                      <wps:txbx>
                        <w:txbxContent>
                          <w:p w14:paraId="623B50D6">
                            <w:pPr>
                              <w:jc w:val="center"/>
                              <w:rPr>
                                <w:rFonts w:hint="default" w:ascii="Times New Roman" w:hAnsi="Times New Roman" w:eastAsia="宋体" w:cs="Times New Roman"/>
                                <w:b/>
                                <w:bCs/>
                                <w:color w:val="FFFFFF"/>
                                <w:sz w:val="21"/>
                                <w:szCs w:val="21"/>
                                <w:lang w:val="en-US" w:eastAsia="zh-CN"/>
                              </w:rPr>
                            </w:pPr>
                            <w:r>
                              <w:rPr>
                                <w:rFonts w:hint="default" w:ascii="Times New Roman" w:hAnsi="Times New Roman" w:eastAsia="宋体" w:cs="Times New Roman"/>
                                <w:b/>
                                <w:bCs/>
                                <w:color w:val="FFFFFF"/>
                                <w:sz w:val="21"/>
                                <w:szCs w:val="21"/>
                                <w:lang w:val="en-US" w:eastAsia="zh-CN"/>
                              </w:rPr>
                              <w:t>黄山市歙县精华园旅游投资有限公司（已出租）</w:t>
                            </w:r>
                          </w:p>
                          <w:p w14:paraId="7C8D8842"/>
                        </w:txbxContent>
                      </wps:txbx>
                      <wps:bodyPr upright="1"/>
                    </wps:wsp>
                  </a:graphicData>
                </a:graphic>
              </wp:anchor>
            </w:drawing>
          </mc:Choice>
          <mc:Fallback>
            <w:pict>
              <v:shape id="_x0000_s1026" o:spid="_x0000_s1026" o:spt="202" type="#_x0000_t202" style="position:absolute;left:0pt;margin-left:394.3pt;margin-top:223.85pt;height:39.5pt;width:121.95pt;z-index:251668480;mso-width-relative:page;mso-height-relative:page;" filled="f" stroked="f" coordsize="21600,21600" o:gfxdata="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BIyv&#10;ItkAAAAMAQAADwAAAAAAAAABACAAAAAiAAAAZHJzL2Rvd25yZXYueG1sUEsBAhQAFAAAAAgAh07i&#10;QHnWduKvAQAAUgMAAA4AAAAAAAAAAQAgAAAAKAEAAGRycy9lMm9Eb2MueG1sUEsFBgAAAAAGAAYA&#10;WQEAAEkFAAAAAA==&#10;">
                <v:fill on="f" focussize="0,0"/>
                <v:stroke on="f"/>
                <v:imagedata o:title=""/>
                <o:lock v:ext="edit" aspectratio="f"/>
                <v:textbox>
                  <w:txbxContent>
                    <w:p w14:paraId="623B50D6">
                      <w:pPr>
                        <w:jc w:val="center"/>
                        <w:rPr>
                          <w:rFonts w:hint="default" w:ascii="Times New Roman" w:hAnsi="Times New Roman" w:eastAsia="宋体" w:cs="Times New Roman"/>
                          <w:b/>
                          <w:bCs/>
                          <w:color w:val="FFFFFF"/>
                          <w:sz w:val="21"/>
                          <w:szCs w:val="21"/>
                          <w:lang w:val="en-US" w:eastAsia="zh-CN"/>
                        </w:rPr>
                      </w:pPr>
                      <w:r>
                        <w:rPr>
                          <w:rFonts w:hint="default" w:ascii="Times New Roman" w:hAnsi="Times New Roman" w:eastAsia="宋体" w:cs="Times New Roman"/>
                          <w:b/>
                          <w:bCs/>
                          <w:color w:val="FFFFFF"/>
                          <w:sz w:val="21"/>
                          <w:szCs w:val="21"/>
                          <w:lang w:val="en-US" w:eastAsia="zh-CN"/>
                        </w:rPr>
                        <w:t>黄山市歙县精华园旅游投资有限公司（已出租）</w:t>
                      </w:r>
                    </w:p>
                    <w:p w14:paraId="7C8D8842"/>
                  </w:txbxContent>
                </v:textbox>
              </v:shape>
            </w:pict>
          </mc:Fallback>
        </mc:AlternateContent>
      </w:r>
      <w:r>
        <w:rPr>
          <w:color w:val="FF0000"/>
          <w:sz w:val="28"/>
        </w:rPr>
        <mc:AlternateContent>
          <mc:Choice Requires="wps">
            <w:drawing>
              <wp:anchor distT="0" distB="0" distL="114300" distR="114300" simplePos="0" relativeHeight="251665408" behindDoc="0" locked="0" layoutInCell="1" allowOverlap="1">
                <wp:simplePos x="0" y="0"/>
                <wp:positionH relativeFrom="column">
                  <wp:posOffset>4673600</wp:posOffset>
                </wp:positionH>
                <wp:positionV relativeFrom="paragraph">
                  <wp:posOffset>2871470</wp:posOffset>
                </wp:positionV>
                <wp:extent cx="1795780" cy="83058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795780" cy="830580"/>
                        </a:xfrm>
                        <a:prstGeom prst="rect">
                          <a:avLst/>
                        </a:prstGeom>
                        <a:noFill/>
                        <a:ln>
                          <a:noFill/>
                        </a:ln>
                      </wps:spPr>
                      <wps:txbx>
                        <w:txbxContent>
                          <w:p w14:paraId="3812CE94">
                            <w:pPr>
                              <w:rPr>
                                <w:rFonts w:hint="eastAsia"/>
                                <w:lang w:eastAsia="zh-CN"/>
                              </w:rPr>
                            </w:pPr>
                          </w:p>
                        </w:txbxContent>
                      </wps:txbx>
                      <wps:bodyPr upright="1"/>
                    </wps:wsp>
                  </a:graphicData>
                </a:graphic>
              </wp:anchor>
            </w:drawing>
          </mc:Choice>
          <mc:Fallback>
            <w:pict>
              <v:shape id="_x0000_s1026" o:spid="_x0000_s1026" o:spt="202" type="#_x0000_t202" style="position:absolute;left:0pt;margin-left:368pt;margin-top:226.1pt;height:65.4pt;width:141.4pt;z-index:251665408;mso-width-relative:page;mso-height-relative:page;" filled="f" stroked="f" coordsize="21600,21600" o:gfxdata="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J4TEbLZ&#10;AAAADAEAAA8AAAAAAAAAAQAgAAAAIgAAAGRycy9kb3ducmV2LnhtbFBLAQIUABQAAAAIAIdO4kAv&#10;GB6VrQEAAFADAAAOAAAAAAAAAAEAIAAAACgBAABkcnMvZTJvRG9jLnhtbFBLBQYAAAAABgAGAFkB&#10;AABHBQAAAAA=&#10;">
                <v:fill on="f" focussize="0,0"/>
                <v:stroke on="f"/>
                <v:imagedata o:title=""/>
                <o:lock v:ext="edit" aspectratio="f"/>
                <v:textbox>
                  <w:txbxContent>
                    <w:p w14:paraId="3812CE94">
                      <w:pPr>
                        <w:rPr>
                          <w:rFonts w:hint="eastAsia"/>
                          <w:lang w:eastAsia="zh-CN"/>
                        </w:rPr>
                      </w:pPr>
                    </w:p>
                  </w:txbxContent>
                </v:textbox>
              </v:shape>
            </w:pict>
          </mc:Fallback>
        </mc:AlternateContent>
      </w:r>
      <w:r>
        <w:rPr>
          <w:color w:val="FF0000"/>
          <w:sz w:val="28"/>
        </w:rPr>
        <mc:AlternateContent>
          <mc:Choice Requires="wps">
            <w:drawing>
              <wp:anchor distT="0" distB="0" distL="114300" distR="114300" simplePos="0" relativeHeight="251667456" behindDoc="0" locked="0" layoutInCell="1" allowOverlap="1">
                <wp:simplePos x="0" y="0"/>
                <wp:positionH relativeFrom="column">
                  <wp:posOffset>2273300</wp:posOffset>
                </wp:positionH>
                <wp:positionV relativeFrom="paragraph">
                  <wp:posOffset>1809750</wp:posOffset>
                </wp:positionV>
                <wp:extent cx="1523365" cy="396875"/>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523365" cy="396875"/>
                        </a:xfrm>
                        <a:prstGeom prst="rect">
                          <a:avLst/>
                        </a:prstGeom>
                        <a:noFill/>
                        <a:ln>
                          <a:noFill/>
                        </a:ln>
                      </wps:spPr>
                      <wps:txbx>
                        <w:txbxContent>
                          <w:p w14:paraId="6A488B6B">
                            <w:pPr>
                              <w:jc w:val="center"/>
                              <w:rPr>
                                <w:rFonts w:hint="default" w:ascii="Times New Roman" w:hAnsi="Times New Roman" w:eastAsia="宋体" w:cs="Times New Roman"/>
                                <w:b/>
                                <w:bCs/>
                                <w:color w:val="FFFFFF"/>
                                <w:sz w:val="21"/>
                                <w:szCs w:val="21"/>
                                <w:lang w:eastAsia="zh-CN"/>
                              </w:rPr>
                            </w:pPr>
                            <w:r>
                              <w:rPr>
                                <w:rFonts w:hint="default" w:ascii="Times New Roman" w:hAnsi="Times New Roman" w:eastAsia="宋体" w:cs="Times New Roman"/>
                                <w:b/>
                                <w:bCs/>
                                <w:color w:val="FFFFFF"/>
                                <w:sz w:val="21"/>
                                <w:szCs w:val="21"/>
                                <w:lang w:eastAsia="zh-CN"/>
                              </w:rPr>
                              <w:t>安徽多杰电气有限公司</w:t>
                            </w:r>
                          </w:p>
                        </w:txbxContent>
                      </wps:txbx>
                      <wps:bodyPr upright="1"/>
                    </wps:wsp>
                  </a:graphicData>
                </a:graphic>
              </wp:anchor>
            </w:drawing>
          </mc:Choice>
          <mc:Fallback>
            <w:pict>
              <v:shape id="_x0000_s1026" o:spid="_x0000_s1026" o:spt="202" type="#_x0000_t202" style="position:absolute;left:0pt;margin-left:179pt;margin-top:142.5pt;height:31.25pt;width:119.95pt;z-index:251667456;mso-width-relative:page;mso-height-relative:page;" filled="f" stroked="f" coordsize="21600,21600" o:gfxdata="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v/iQ6&#10;2AAAAAsBAAAPAAAAAAAAAAEAIAAAACIAAABkcnMvZG93bnJldi54bWxQSwECFAAUAAAACACHTuJA&#10;PoRRNK8BAABSAwAADgAAAAAAAAABACAAAAAnAQAAZHJzL2Uyb0RvYy54bWxQSwUGAAAAAAYABgBZ&#10;AQAASAUAAAAA&#10;">
                <v:fill on="f" focussize="0,0"/>
                <v:stroke on="f"/>
                <v:imagedata o:title=""/>
                <o:lock v:ext="edit" aspectratio="f"/>
                <v:textbox>
                  <w:txbxContent>
                    <w:p w14:paraId="6A488B6B">
                      <w:pPr>
                        <w:jc w:val="center"/>
                        <w:rPr>
                          <w:rFonts w:hint="default" w:ascii="Times New Roman" w:hAnsi="Times New Roman" w:eastAsia="宋体" w:cs="Times New Roman"/>
                          <w:b/>
                          <w:bCs/>
                          <w:color w:val="FFFFFF"/>
                          <w:sz w:val="21"/>
                          <w:szCs w:val="21"/>
                          <w:lang w:eastAsia="zh-CN"/>
                        </w:rPr>
                      </w:pPr>
                      <w:r>
                        <w:rPr>
                          <w:rFonts w:hint="default" w:ascii="Times New Roman" w:hAnsi="Times New Roman" w:eastAsia="宋体" w:cs="Times New Roman"/>
                          <w:b/>
                          <w:bCs/>
                          <w:color w:val="FFFFFF"/>
                          <w:sz w:val="21"/>
                          <w:szCs w:val="21"/>
                          <w:lang w:eastAsia="zh-CN"/>
                        </w:rPr>
                        <w:t>安徽多杰电气有限公司</w:t>
                      </w:r>
                    </w:p>
                  </w:txbxContent>
                </v:textbox>
              </v:shape>
            </w:pict>
          </mc:Fallback>
        </mc:AlternateContent>
      </w:r>
      <w:r>
        <w:rPr>
          <w:color w:val="FF0000"/>
          <w:sz w:val="28"/>
        </w:rPr>
        <mc:AlternateContent>
          <mc:Choice Requires="wps">
            <w:drawing>
              <wp:anchor distT="0" distB="0" distL="114300" distR="114300" simplePos="0" relativeHeight="251663360" behindDoc="0" locked="0" layoutInCell="1" allowOverlap="1">
                <wp:simplePos x="0" y="0"/>
                <wp:positionH relativeFrom="column">
                  <wp:posOffset>1114425</wp:posOffset>
                </wp:positionH>
                <wp:positionV relativeFrom="paragraph">
                  <wp:posOffset>6604000</wp:posOffset>
                </wp:positionV>
                <wp:extent cx="8515350" cy="438150"/>
                <wp:effectExtent l="0" t="0" r="6350" b="6350"/>
                <wp:wrapNone/>
                <wp:docPr id="100" name="文本框 100"/>
                <wp:cNvGraphicFramePr/>
                <a:graphic xmlns:a="http://schemas.openxmlformats.org/drawingml/2006/main">
                  <a:graphicData uri="http://schemas.microsoft.com/office/word/2010/wordprocessingShape">
                    <wps:wsp>
                      <wps:cNvSpPr txBox="1"/>
                      <wps:spPr>
                        <a:xfrm>
                          <a:off x="0" y="0"/>
                          <a:ext cx="8515350" cy="438150"/>
                        </a:xfrm>
                        <a:prstGeom prst="rect">
                          <a:avLst/>
                        </a:prstGeom>
                        <a:solidFill>
                          <a:srgbClr val="FFFFFF"/>
                        </a:solidFill>
                        <a:ln>
                          <a:noFill/>
                        </a:ln>
                      </wps:spPr>
                      <wps:txbx>
                        <w:txbxContent>
                          <w:p w14:paraId="44E98182">
                            <w:pPr>
                              <w:jc w:val="center"/>
                              <w:rPr>
                                <w:rFonts w:hint="default" w:ascii="Times New Roman" w:hAnsi="Times New Roman" w:cs="Times New Roman"/>
                              </w:rPr>
                            </w:pPr>
                            <w:r>
                              <w:rPr>
                                <w:rFonts w:hint="default" w:ascii="Times New Roman" w:hAnsi="Times New Roman" w:cs="Times New Roman"/>
                                <w:b/>
                                <w:bCs/>
                                <w:sz w:val="28"/>
                                <w:szCs w:val="28"/>
                              </w:rPr>
                              <w:t>附图</w:t>
                            </w:r>
                            <w:r>
                              <w:rPr>
                                <w:rFonts w:hint="eastAsia" w:ascii="Times New Roman" w:hAnsi="Times New Roman" w:cs="Times New Roman"/>
                                <w:b/>
                                <w:bCs/>
                                <w:sz w:val="28"/>
                                <w:szCs w:val="28"/>
                                <w:lang w:val="en-US" w:eastAsia="zh-CN"/>
                              </w:rPr>
                              <w:t>2</w:t>
                            </w:r>
                            <w:r>
                              <w:rPr>
                                <w:rFonts w:hint="default" w:ascii="Times New Roman" w:hAnsi="Times New Roman" w:cs="Times New Roman"/>
                                <w:b/>
                                <w:bCs/>
                                <w:sz w:val="28"/>
                                <w:szCs w:val="28"/>
                              </w:rPr>
                              <w:t xml:space="preserve">  项目</w:t>
                            </w:r>
                            <w:r>
                              <w:rPr>
                                <w:rFonts w:hint="eastAsia" w:ascii="Times New Roman" w:hAnsi="Times New Roman" w:cs="Times New Roman"/>
                                <w:b/>
                                <w:bCs/>
                                <w:sz w:val="28"/>
                                <w:szCs w:val="28"/>
                                <w:lang w:eastAsia="zh-CN"/>
                              </w:rPr>
                              <w:t>周边概况</w:t>
                            </w:r>
                            <w:r>
                              <w:rPr>
                                <w:rFonts w:hint="default" w:ascii="Times New Roman" w:hAnsi="Times New Roman" w:cs="Times New Roman"/>
                                <w:b/>
                                <w:bCs/>
                                <w:sz w:val="28"/>
                                <w:szCs w:val="28"/>
                              </w:rPr>
                              <w:t>图</w:t>
                            </w:r>
                          </w:p>
                        </w:txbxContent>
                      </wps:txbx>
                      <wps:bodyPr upright="1"/>
                    </wps:wsp>
                  </a:graphicData>
                </a:graphic>
              </wp:anchor>
            </w:drawing>
          </mc:Choice>
          <mc:Fallback>
            <w:pict>
              <v:shape id="_x0000_s1026" o:spid="_x0000_s1026" o:spt="202" type="#_x0000_t202" style="position:absolute;left:0pt;margin-left:87.75pt;margin-top:520pt;height:34.5pt;width:670.5pt;z-index:251663360;mso-width-relative:page;mso-height-relative:page;" fillcolor="#FFFFFF" filled="t" stroked="f" coordsize="21600,21600" o:gfxdata="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ziZgM2AAAAA4BAAAPAAAAAAAAAAEAIAAAACIAAABkcnMvZG93bnJldi54&#10;bWxQSwECFAAUAAAACACHTuJAYExS8MEBAAB7AwAADgAAAAAAAAABACAAAAAnAQAAZHJzL2Uyb0Rv&#10;Yy54bWxQSwUGAAAAAAYABgBZAQAAWgUAAAAA&#10;">
                <v:fill on="t" focussize="0,0"/>
                <v:stroke on="f"/>
                <v:imagedata o:title=""/>
                <o:lock v:ext="edit" aspectratio="f"/>
                <v:textbox>
                  <w:txbxContent>
                    <w:p w14:paraId="44E98182">
                      <w:pPr>
                        <w:jc w:val="center"/>
                        <w:rPr>
                          <w:rFonts w:hint="default" w:ascii="Times New Roman" w:hAnsi="Times New Roman" w:cs="Times New Roman"/>
                        </w:rPr>
                      </w:pPr>
                      <w:r>
                        <w:rPr>
                          <w:rFonts w:hint="default" w:ascii="Times New Roman" w:hAnsi="Times New Roman" w:cs="Times New Roman"/>
                          <w:b/>
                          <w:bCs/>
                          <w:sz w:val="28"/>
                          <w:szCs w:val="28"/>
                        </w:rPr>
                        <w:t>附图</w:t>
                      </w:r>
                      <w:r>
                        <w:rPr>
                          <w:rFonts w:hint="eastAsia" w:ascii="Times New Roman" w:hAnsi="Times New Roman" w:cs="Times New Roman"/>
                          <w:b/>
                          <w:bCs/>
                          <w:sz w:val="28"/>
                          <w:szCs w:val="28"/>
                          <w:lang w:val="en-US" w:eastAsia="zh-CN"/>
                        </w:rPr>
                        <w:t>2</w:t>
                      </w:r>
                      <w:r>
                        <w:rPr>
                          <w:rFonts w:hint="default" w:ascii="Times New Roman" w:hAnsi="Times New Roman" w:cs="Times New Roman"/>
                          <w:b/>
                          <w:bCs/>
                          <w:sz w:val="28"/>
                          <w:szCs w:val="28"/>
                        </w:rPr>
                        <w:t xml:space="preserve">  项目</w:t>
                      </w:r>
                      <w:r>
                        <w:rPr>
                          <w:rFonts w:hint="eastAsia" w:ascii="Times New Roman" w:hAnsi="Times New Roman" w:cs="Times New Roman"/>
                          <w:b/>
                          <w:bCs/>
                          <w:sz w:val="28"/>
                          <w:szCs w:val="28"/>
                          <w:lang w:eastAsia="zh-CN"/>
                        </w:rPr>
                        <w:t>周边概况</w:t>
                      </w:r>
                      <w:r>
                        <w:rPr>
                          <w:rFonts w:hint="default" w:ascii="Times New Roman" w:hAnsi="Times New Roman" w:cs="Times New Roman"/>
                          <w:b/>
                          <w:bCs/>
                          <w:sz w:val="28"/>
                          <w:szCs w:val="28"/>
                        </w:rPr>
                        <w:t>图</w:t>
                      </w:r>
                    </w:p>
                  </w:txbxContent>
                </v:textbox>
              </v:shape>
            </w:pict>
          </mc:Fallback>
        </mc:AlternateContent>
      </w:r>
      <w:r>
        <w:rPr>
          <w:color w:val="FF0000"/>
          <w:sz w:val="28"/>
        </w:rPr>
        <mc:AlternateContent>
          <mc:Choice Requires="wps">
            <w:drawing>
              <wp:anchor distT="0" distB="0" distL="114300" distR="114300" simplePos="0" relativeHeight="251664384" behindDoc="0" locked="0" layoutInCell="1" allowOverlap="1">
                <wp:simplePos x="0" y="0"/>
                <wp:positionH relativeFrom="column">
                  <wp:posOffset>1114425</wp:posOffset>
                </wp:positionH>
                <wp:positionV relativeFrom="paragraph">
                  <wp:posOffset>6604000</wp:posOffset>
                </wp:positionV>
                <wp:extent cx="8515350" cy="438150"/>
                <wp:effectExtent l="0" t="0" r="6350" b="6350"/>
                <wp:wrapNone/>
                <wp:docPr id="95" name="文本框 95"/>
                <wp:cNvGraphicFramePr/>
                <a:graphic xmlns:a="http://schemas.openxmlformats.org/drawingml/2006/main">
                  <a:graphicData uri="http://schemas.microsoft.com/office/word/2010/wordprocessingShape">
                    <wps:wsp>
                      <wps:cNvSpPr txBox="1"/>
                      <wps:spPr>
                        <a:xfrm>
                          <a:off x="0" y="0"/>
                          <a:ext cx="8515350" cy="438150"/>
                        </a:xfrm>
                        <a:prstGeom prst="rect">
                          <a:avLst/>
                        </a:prstGeom>
                        <a:solidFill>
                          <a:srgbClr val="FFFFFF"/>
                        </a:solidFill>
                        <a:ln>
                          <a:noFill/>
                        </a:ln>
                      </wps:spPr>
                      <wps:txbx>
                        <w:txbxContent>
                          <w:p w14:paraId="7A447EDA">
                            <w:pPr>
                              <w:jc w:val="center"/>
                              <w:rPr>
                                <w:rFonts w:hint="default" w:ascii="Times New Roman" w:hAnsi="Times New Roman" w:cs="Times New Roman"/>
                              </w:rPr>
                            </w:pPr>
                            <w:r>
                              <w:rPr>
                                <w:rFonts w:hint="default" w:ascii="Times New Roman" w:hAnsi="Times New Roman" w:cs="Times New Roman"/>
                                <w:b/>
                                <w:bCs/>
                                <w:sz w:val="28"/>
                                <w:szCs w:val="28"/>
                              </w:rPr>
                              <w:t>附图</w:t>
                            </w:r>
                            <w:r>
                              <w:rPr>
                                <w:rFonts w:hint="eastAsia" w:ascii="Times New Roman" w:hAnsi="Times New Roman" w:cs="Times New Roman"/>
                                <w:b/>
                                <w:bCs/>
                                <w:sz w:val="28"/>
                                <w:szCs w:val="28"/>
                                <w:lang w:val="en-US" w:eastAsia="zh-CN"/>
                              </w:rPr>
                              <w:t>2</w:t>
                            </w:r>
                            <w:r>
                              <w:rPr>
                                <w:rFonts w:hint="default" w:ascii="Times New Roman" w:hAnsi="Times New Roman" w:cs="Times New Roman"/>
                                <w:b/>
                                <w:bCs/>
                                <w:sz w:val="28"/>
                                <w:szCs w:val="28"/>
                              </w:rPr>
                              <w:t xml:space="preserve">  项目</w:t>
                            </w:r>
                            <w:r>
                              <w:rPr>
                                <w:rFonts w:hint="eastAsia" w:ascii="Times New Roman" w:hAnsi="Times New Roman" w:cs="Times New Roman"/>
                                <w:b/>
                                <w:bCs/>
                                <w:sz w:val="28"/>
                                <w:szCs w:val="28"/>
                                <w:lang w:eastAsia="zh-CN"/>
                              </w:rPr>
                              <w:t>周边概况</w:t>
                            </w:r>
                            <w:r>
                              <w:rPr>
                                <w:rFonts w:hint="default" w:ascii="Times New Roman" w:hAnsi="Times New Roman" w:cs="Times New Roman"/>
                                <w:b/>
                                <w:bCs/>
                                <w:sz w:val="28"/>
                                <w:szCs w:val="28"/>
                              </w:rPr>
                              <w:t>图</w:t>
                            </w:r>
                          </w:p>
                        </w:txbxContent>
                      </wps:txbx>
                      <wps:bodyPr upright="1"/>
                    </wps:wsp>
                  </a:graphicData>
                </a:graphic>
              </wp:anchor>
            </w:drawing>
          </mc:Choice>
          <mc:Fallback>
            <w:pict>
              <v:shape id="_x0000_s1026" o:spid="_x0000_s1026" o:spt="202" type="#_x0000_t202" style="position:absolute;left:0pt;margin-left:87.75pt;margin-top:520pt;height:34.5pt;width:670.5pt;z-index:251664384;mso-width-relative:page;mso-height-relative:page;" fillcolor="#FFFFFF" filled="t" stroked="f" coordsize="21600,21600" o:gfxdata="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ziZgM2AAAAA4BAAAPAAAAAAAAAAEAIAAAACIAAABkcnMvZG93bnJldi54&#10;bWxQSwECFAAUAAAACACHTuJAOtPoK8EBAAB5AwAADgAAAAAAAAABACAAAAAnAQAAZHJzL2Uyb0Rv&#10;Yy54bWxQSwUGAAAAAAYABgBZAQAAWgUAAAAA&#10;">
                <v:fill on="t" focussize="0,0"/>
                <v:stroke on="f"/>
                <v:imagedata o:title=""/>
                <o:lock v:ext="edit" aspectratio="f"/>
                <v:textbox>
                  <w:txbxContent>
                    <w:p w14:paraId="7A447EDA">
                      <w:pPr>
                        <w:jc w:val="center"/>
                        <w:rPr>
                          <w:rFonts w:hint="default" w:ascii="Times New Roman" w:hAnsi="Times New Roman" w:cs="Times New Roman"/>
                        </w:rPr>
                      </w:pPr>
                      <w:r>
                        <w:rPr>
                          <w:rFonts w:hint="default" w:ascii="Times New Roman" w:hAnsi="Times New Roman" w:cs="Times New Roman"/>
                          <w:b/>
                          <w:bCs/>
                          <w:sz w:val="28"/>
                          <w:szCs w:val="28"/>
                        </w:rPr>
                        <w:t>附图</w:t>
                      </w:r>
                      <w:r>
                        <w:rPr>
                          <w:rFonts w:hint="eastAsia" w:ascii="Times New Roman" w:hAnsi="Times New Roman" w:cs="Times New Roman"/>
                          <w:b/>
                          <w:bCs/>
                          <w:sz w:val="28"/>
                          <w:szCs w:val="28"/>
                          <w:lang w:val="en-US" w:eastAsia="zh-CN"/>
                        </w:rPr>
                        <w:t>2</w:t>
                      </w:r>
                      <w:r>
                        <w:rPr>
                          <w:rFonts w:hint="default" w:ascii="Times New Roman" w:hAnsi="Times New Roman" w:cs="Times New Roman"/>
                          <w:b/>
                          <w:bCs/>
                          <w:sz w:val="28"/>
                          <w:szCs w:val="28"/>
                        </w:rPr>
                        <w:t xml:space="preserve">  项目</w:t>
                      </w:r>
                      <w:r>
                        <w:rPr>
                          <w:rFonts w:hint="eastAsia" w:ascii="Times New Roman" w:hAnsi="Times New Roman" w:cs="Times New Roman"/>
                          <w:b/>
                          <w:bCs/>
                          <w:sz w:val="28"/>
                          <w:szCs w:val="28"/>
                          <w:lang w:eastAsia="zh-CN"/>
                        </w:rPr>
                        <w:t>周边概况</w:t>
                      </w:r>
                      <w:r>
                        <w:rPr>
                          <w:rFonts w:hint="default" w:ascii="Times New Roman" w:hAnsi="Times New Roman" w:cs="Times New Roman"/>
                          <w:b/>
                          <w:bCs/>
                          <w:sz w:val="28"/>
                          <w:szCs w:val="28"/>
                        </w:rPr>
                        <w:t>图</w:t>
                      </w:r>
                    </w:p>
                  </w:txbxContent>
                </v:textbox>
              </v:shape>
            </w:pict>
          </mc:Fallback>
        </mc:AlternateContent>
      </w:r>
    </w:p>
    <w:p w14:paraId="3B30DBE1">
      <w:pPr>
        <w:keepNext w:val="0"/>
        <w:keepLines w:val="0"/>
        <w:pageBreakBefore w:val="0"/>
        <w:widowControl/>
        <w:kinsoku/>
        <w:wordWrap/>
        <w:overflowPunct/>
        <w:topLinePunct w:val="0"/>
        <w:autoSpaceDE/>
        <w:autoSpaceDN/>
        <w:bidi w:val="0"/>
        <w:adjustRightInd w:val="0"/>
        <w:snapToGrid w:val="0"/>
        <w:spacing w:after="0"/>
        <w:jc w:val="both"/>
        <w:textAlignment w:val="auto"/>
        <w:outlineLvl w:val="1"/>
        <w:rPr>
          <w:rFonts w:hint="eastAsia"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rPr>
        <w:t>附图</w:t>
      </w:r>
      <w:r>
        <w:rPr>
          <w:rFonts w:hint="eastAsia" w:ascii="Times New Roman" w:hAnsi="Times New Roman" w:eastAsia="宋体" w:cs="Times New Roman"/>
          <w:b/>
          <w:bCs/>
          <w:color w:val="auto"/>
          <w:sz w:val="28"/>
          <w:szCs w:val="28"/>
          <w:lang w:val="en-US" w:eastAsia="zh-CN"/>
        </w:rPr>
        <w:t>3</w:t>
      </w:r>
      <w:r>
        <w:rPr>
          <w:rFonts w:hint="default" w:ascii="Times New Roman" w:hAnsi="Times New Roman" w:eastAsia="宋体" w:cs="Times New Roman"/>
          <w:b/>
          <w:bCs/>
          <w:color w:val="auto"/>
          <w:sz w:val="28"/>
          <w:szCs w:val="28"/>
        </w:rPr>
        <w:t xml:space="preserve"> </w:t>
      </w:r>
      <w:r>
        <w:rPr>
          <w:rFonts w:hint="eastAsia" w:ascii="Times New Roman" w:hAnsi="Times New Roman" w:eastAsia="宋体" w:cs="Times New Roman"/>
          <w:b/>
          <w:bCs/>
          <w:color w:val="auto"/>
          <w:sz w:val="28"/>
          <w:szCs w:val="28"/>
          <w:lang w:val="en-US" w:eastAsia="zh-CN"/>
        </w:rPr>
        <w:t>平面布局图（分区防渗图）</w:t>
      </w:r>
    </w:p>
    <w:p w14:paraId="601B1950">
      <w:pPr>
        <w:pStyle w:val="2"/>
        <w:jc w:val="center"/>
        <w:rPr>
          <w:rFonts w:hint="eastAsia"/>
          <w:lang w:val="en-US" w:eastAsia="zh-CN"/>
        </w:rPr>
      </w:pPr>
      <w:r>
        <w:rPr>
          <w:sz w:val="28"/>
        </w:rPr>
        <mc:AlternateContent>
          <mc:Choice Requires="wps">
            <w:drawing>
              <wp:anchor distT="0" distB="0" distL="114300" distR="114300" simplePos="0" relativeHeight="251695104" behindDoc="0" locked="0" layoutInCell="1" allowOverlap="1">
                <wp:simplePos x="0" y="0"/>
                <wp:positionH relativeFrom="column">
                  <wp:posOffset>1541780</wp:posOffset>
                </wp:positionH>
                <wp:positionV relativeFrom="paragraph">
                  <wp:posOffset>3151505</wp:posOffset>
                </wp:positionV>
                <wp:extent cx="829310" cy="294005"/>
                <wp:effectExtent l="4445" t="55880" r="347345" b="12065"/>
                <wp:wrapNone/>
                <wp:docPr id="79" name="矩形标注 79"/>
                <wp:cNvGraphicFramePr/>
                <a:graphic xmlns:a="http://schemas.openxmlformats.org/drawingml/2006/main">
                  <a:graphicData uri="http://schemas.microsoft.com/office/word/2010/wordprocessingShape">
                    <wps:wsp>
                      <wps:cNvSpPr/>
                      <wps:spPr>
                        <a:xfrm>
                          <a:off x="0" y="0"/>
                          <a:ext cx="829310" cy="294005"/>
                        </a:xfrm>
                        <a:prstGeom prst="wedgeRectCallout">
                          <a:avLst>
                            <a:gd name="adj1" fmla="val 87231"/>
                            <a:gd name="adj2" fmla="val -63954"/>
                          </a:avLst>
                        </a:prstGeom>
                        <a:noFill/>
                        <a:ln w="9525" cap="flat" cmpd="sng">
                          <a:solidFill>
                            <a:srgbClr val="000000"/>
                          </a:solidFill>
                          <a:prstDash val="solid"/>
                          <a:miter/>
                          <a:headEnd type="none" w="med" len="med"/>
                          <a:tailEnd type="triangle" w="lg" len="lg"/>
                        </a:ln>
                      </wps:spPr>
                      <wps:txbx>
                        <w:txbxContent>
                          <w:p w14:paraId="3B0F0957">
                            <w:pPr>
                              <w:keepNext w:val="0"/>
                              <w:keepLines w:val="0"/>
                              <w:pageBreakBefore w:val="0"/>
                              <w:widowControl w:val="0"/>
                              <w:kinsoku/>
                              <w:wordWrap/>
                              <w:overflowPunct/>
                              <w:topLinePunct w:val="0"/>
                              <w:bidi w:val="0"/>
                              <w:adjustRightInd w:val="0"/>
                              <w:snapToGrid w:val="0"/>
                              <w:textAlignment w:val="auto"/>
                              <w:rPr>
                                <w:rFonts w:hint="default" w:eastAsia="宋体"/>
                                <w:b/>
                                <w:bCs/>
                                <w:color w:val="auto"/>
                                <w:sz w:val="18"/>
                                <w:szCs w:val="18"/>
                                <w:lang w:val="en-US" w:eastAsia="zh-CN"/>
                              </w:rPr>
                            </w:pPr>
                            <w:r>
                              <w:rPr>
                                <w:rFonts w:hint="eastAsia"/>
                                <w:color w:val="auto"/>
                                <w:sz w:val="18"/>
                                <w:szCs w:val="18"/>
                                <w:lang w:val="en-US" w:eastAsia="zh-CN"/>
                              </w:rPr>
                              <w:t>危废暂存间</w:t>
                            </w:r>
                          </w:p>
                          <w:p w14:paraId="4B31A1A5"/>
                        </w:txbxContent>
                      </wps:txbx>
                      <wps:bodyPr upright="1"/>
                    </wps:wsp>
                  </a:graphicData>
                </a:graphic>
              </wp:anchor>
            </w:drawing>
          </mc:Choice>
          <mc:Fallback>
            <w:pict>
              <v:shape id="_x0000_s1026" o:spid="_x0000_s1026" o:spt="61" type="#_x0000_t61" style="position:absolute;left:0pt;margin-left:121.4pt;margin-top:248.15pt;height:23.15pt;width:65.3pt;z-index:251695104;mso-width-relative:page;mso-height-relative:page;" filled="f" stroked="t" coordsize="21600,21600" o:gfxdata="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fGG3a2AAAAAsBAAAPAAAAAAAAAAEAIAAAACIAAABk&#10;cnMvZG93bnJldi54bWxQSwECFAAUAAAACACHTuJAH9/UTz8CAABnBAAADgAAAAAAAAABACAAAAAn&#10;AQAAZHJzL2Uyb0RvYy54bWxQSwUGAAAAAAYABgBZAQAA2AUAAAAA&#10;" adj="29642,-3014">
                <v:fill on="f" focussize="0,0"/>
                <v:stroke color="#000000" joinstyle="miter" endarrow="block" endarrowwidth="wide" endarrowlength="long"/>
                <v:imagedata o:title=""/>
                <o:lock v:ext="edit" aspectratio="f"/>
                <v:textbox>
                  <w:txbxContent>
                    <w:p w14:paraId="3B0F0957">
                      <w:pPr>
                        <w:keepNext w:val="0"/>
                        <w:keepLines w:val="0"/>
                        <w:pageBreakBefore w:val="0"/>
                        <w:widowControl w:val="0"/>
                        <w:kinsoku/>
                        <w:wordWrap/>
                        <w:overflowPunct/>
                        <w:topLinePunct w:val="0"/>
                        <w:bidi w:val="0"/>
                        <w:adjustRightInd w:val="0"/>
                        <w:snapToGrid w:val="0"/>
                        <w:textAlignment w:val="auto"/>
                        <w:rPr>
                          <w:rFonts w:hint="default" w:eastAsia="宋体"/>
                          <w:b/>
                          <w:bCs/>
                          <w:color w:val="auto"/>
                          <w:sz w:val="18"/>
                          <w:szCs w:val="18"/>
                          <w:lang w:val="en-US" w:eastAsia="zh-CN"/>
                        </w:rPr>
                      </w:pPr>
                      <w:r>
                        <w:rPr>
                          <w:rFonts w:hint="eastAsia"/>
                          <w:color w:val="auto"/>
                          <w:sz w:val="18"/>
                          <w:szCs w:val="18"/>
                          <w:lang w:val="en-US" w:eastAsia="zh-CN"/>
                        </w:rPr>
                        <w:t>危废暂存间</w:t>
                      </w:r>
                    </w:p>
                    <w:p w14:paraId="4B31A1A5"/>
                  </w:txbxContent>
                </v:textbox>
              </v:shape>
            </w:pict>
          </mc:Fallback>
        </mc:AlternateContent>
      </w:r>
      <w:r>
        <w:drawing>
          <wp:inline distT="0" distB="0" distL="114300" distR="114300">
            <wp:extent cx="7936230" cy="5213350"/>
            <wp:effectExtent l="0" t="0" r="7620" b="635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29"/>
                    <a:stretch>
                      <a:fillRect/>
                    </a:stretch>
                  </pic:blipFill>
                  <pic:spPr>
                    <a:xfrm>
                      <a:off x="0" y="0"/>
                      <a:ext cx="7936230" cy="5213350"/>
                    </a:xfrm>
                    <a:prstGeom prst="rect">
                      <a:avLst/>
                    </a:prstGeom>
                    <a:noFill/>
                    <a:ln>
                      <a:noFill/>
                    </a:ln>
                  </pic:spPr>
                </pic:pic>
              </a:graphicData>
            </a:graphic>
          </wp:inline>
        </w:drawing>
      </w:r>
      <w:r>
        <w:rPr>
          <w:sz w:val="18"/>
        </w:rPr>
        <mc:AlternateContent>
          <mc:Choice Requires="wps">
            <w:drawing>
              <wp:anchor distT="0" distB="0" distL="114300" distR="114300" simplePos="0" relativeHeight="251694080" behindDoc="0" locked="0" layoutInCell="1" allowOverlap="1">
                <wp:simplePos x="0" y="0"/>
                <wp:positionH relativeFrom="column">
                  <wp:posOffset>2713990</wp:posOffset>
                </wp:positionH>
                <wp:positionV relativeFrom="paragraph">
                  <wp:posOffset>2969260</wp:posOffset>
                </wp:positionV>
                <wp:extent cx="398780" cy="224790"/>
                <wp:effectExtent l="37465" t="81915" r="40005" b="93345"/>
                <wp:wrapNone/>
                <wp:docPr id="78" name="矩形 78"/>
                <wp:cNvGraphicFramePr/>
                <a:graphic xmlns:a="http://schemas.openxmlformats.org/drawingml/2006/main">
                  <a:graphicData uri="http://schemas.microsoft.com/office/word/2010/wordprocessingShape">
                    <wps:wsp>
                      <wps:cNvSpPr/>
                      <wps:spPr>
                        <a:xfrm rot="20100000">
                          <a:off x="3750945" y="4258945"/>
                          <a:ext cx="398780" cy="224790"/>
                        </a:xfrm>
                        <a:prstGeom prst="rect">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7pt;margin-top:233.8pt;height:17.7pt;width:31.4pt;rotation:-1638400f;z-index:251694080;v-text-anchor:middle;mso-width-relative:page;mso-height-relative:page;" fillcolor="#FF0000" filled="t" stroked="t" coordsize="21600,21600" o:gfxdata="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Nu5zd3dAAAACwEAAA8AAAAAAAAA&#10;AQAgAAAAIgAAAGRycy9kb3ducmV2LnhtbFBLAQIUABQAAAAIAIdO4kCiNhA8fgIAABAFAAAOAAAA&#10;AAAAAAEAIAAAACwBAABkcnMvZTJvRG9jLnhtbFBLBQYAAAAABgAGAFkBAAAcBgAAAAA=&#10;">
                <v:fill on="t" focussize="0,0"/>
                <v:stroke weight="1pt" color="#FF0000 [2404]" miterlimit="8" joinstyle="miter"/>
                <v:imagedata o:title=""/>
                <o:lock v:ext="edit" aspectratio="f"/>
              </v:rect>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7257415</wp:posOffset>
                </wp:positionH>
                <wp:positionV relativeFrom="paragraph">
                  <wp:posOffset>4938395</wp:posOffset>
                </wp:positionV>
                <wp:extent cx="1057275" cy="348615"/>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057275" cy="348615"/>
                        </a:xfrm>
                        <a:prstGeom prst="rect">
                          <a:avLst/>
                        </a:prstGeom>
                        <a:noFill/>
                        <a:ln w="6350">
                          <a:noFill/>
                        </a:ln>
                      </wps:spPr>
                      <wps:txbx>
                        <w:txbxContent>
                          <w:p w14:paraId="7DF1C648">
                            <w:pPr>
                              <w:ind w:firstLine="210" w:firstLineChars="100"/>
                              <w:rPr>
                                <w:rFonts w:hint="default" w:eastAsia="宋体"/>
                                <w:b/>
                                <w:bCs/>
                                <w:sz w:val="21"/>
                                <w:szCs w:val="21"/>
                                <w:lang w:val="en-US" w:eastAsia="zh-CN"/>
                              </w:rPr>
                            </w:pPr>
                            <w:r>
                              <w:rPr>
                                <w:rFonts w:hint="eastAsia"/>
                                <w:b/>
                                <w:bCs/>
                                <w:sz w:val="21"/>
                                <w:szCs w:val="21"/>
                                <w:lang w:val="en-US" w:eastAsia="zh-CN"/>
                              </w:rPr>
                              <w:t>重点防渗</w:t>
                            </w:r>
                          </w:p>
                        </w:txbxContent>
                      </wps:txbx>
                      <wps:bodyPr upright="1"/>
                    </wps:wsp>
                  </a:graphicData>
                </a:graphic>
              </wp:anchor>
            </w:drawing>
          </mc:Choice>
          <mc:Fallback>
            <w:pict>
              <v:shape id="_x0000_s1026" o:spid="_x0000_s1026" o:spt="202" type="#_x0000_t202" style="position:absolute;left:0pt;margin-left:571.45pt;margin-top:388.85pt;height:27.45pt;width:83.25pt;z-index:251693056;mso-width-relative:page;mso-height-relative:page;" filled="f" stroked="f" coordsize="21600,21600" o:gfxdata="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oH87J3AAAAA0BAAAPAAAAAAAAAAEAIAAAACIAAABkcnMvZG93bnJldi54bWxQSwEC&#10;FAAUAAAACACHTuJABm2N7rcBAABZAwAADgAAAAAAAAABACAAAAArAQAAZHJzL2Uyb0RvYy54bWxQ&#10;SwUGAAAAAAYABgBZAQAAVAUAAAAA&#10;">
                <v:fill on="f" focussize="0,0"/>
                <v:stroke on="f" weight="0.5pt"/>
                <v:imagedata o:title=""/>
                <o:lock v:ext="edit" aspectratio="f"/>
                <v:textbox>
                  <w:txbxContent>
                    <w:p w14:paraId="7DF1C648">
                      <w:pPr>
                        <w:ind w:firstLine="210" w:firstLineChars="100"/>
                        <w:rPr>
                          <w:rFonts w:hint="default" w:eastAsia="宋体"/>
                          <w:b/>
                          <w:bCs/>
                          <w:sz w:val="21"/>
                          <w:szCs w:val="21"/>
                          <w:lang w:val="en-US" w:eastAsia="zh-CN"/>
                        </w:rPr>
                      </w:pPr>
                      <w:r>
                        <w:rPr>
                          <w:rFonts w:hint="eastAsia"/>
                          <w:b/>
                          <w:bCs/>
                          <w:sz w:val="21"/>
                          <w:szCs w:val="21"/>
                          <w:lang w:val="en-US" w:eastAsia="zh-CN"/>
                        </w:rPr>
                        <w:t>重点防渗</w:t>
                      </w:r>
                    </w:p>
                  </w:txbxContent>
                </v:textbox>
              </v:shape>
            </w:pict>
          </mc:Fallback>
        </mc:AlternateContent>
      </w:r>
      <w:r>
        <w:rPr>
          <w:sz w:val="18"/>
        </w:rPr>
        <mc:AlternateContent>
          <mc:Choice Requires="wps">
            <w:drawing>
              <wp:anchor distT="0" distB="0" distL="114300" distR="114300" simplePos="0" relativeHeight="251692032" behindDoc="0" locked="0" layoutInCell="1" allowOverlap="1">
                <wp:simplePos x="0" y="0"/>
                <wp:positionH relativeFrom="column">
                  <wp:posOffset>7001510</wp:posOffset>
                </wp:positionH>
                <wp:positionV relativeFrom="paragraph">
                  <wp:posOffset>5010785</wp:posOffset>
                </wp:positionV>
                <wp:extent cx="372110" cy="172720"/>
                <wp:effectExtent l="6350" t="6350" r="21590" b="11430"/>
                <wp:wrapNone/>
                <wp:docPr id="74" name="矩形 74"/>
                <wp:cNvGraphicFramePr/>
                <a:graphic xmlns:a="http://schemas.openxmlformats.org/drawingml/2006/main">
                  <a:graphicData uri="http://schemas.microsoft.com/office/word/2010/wordprocessingShape">
                    <wps:wsp>
                      <wps:cNvSpPr/>
                      <wps:spPr>
                        <a:xfrm>
                          <a:off x="8098155" y="6337300"/>
                          <a:ext cx="372110" cy="172720"/>
                        </a:xfrm>
                        <a:prstGeom prst="rect">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1.3pt;margin-top:394.55pt;height:13.6pt;width:29.3pt;z-index:251692032;v-text-anchor:middle;mso-width-relative:page;mso-height-relative:page;" fillcolor="#FF0000" filled="t" stroked="t" coordsize="21600,21600" o:gfxdata="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IIjegdgAAAANAQAADwAAAAAAAAABACAAAAAiAAAA&#10;ZHJzL2Rvd25yZXYueG1sUEsBAhQAFAAAAAgAh07iQLsKXB55AgAAAQUAAA4AAAAAAAAAAQAgAAAA&#10;JwEAAGRycy9lMm9Eb2MueG1sUEsFBgAAAAAGAAYAWQEAABIGAAAAAA==&#10;">
                <v:fill on="t" focussize="0,0"/>
                <v:stroke weight="1pt" color="#FF0000 [2404]" miterlimit="8" joinstyle="miter"/>
                <v:imagedata o:title=""/>
                <o:lock v:ext="edit" aspectratio="f"/>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7245350</wp:posOffset>
                </wp:positionH>
                <wp:positionV relativeFrom="paragraph">
                  <wp:posOffset>4620895</wp:posOffset>
                </wp:positionV>
                <wp:extent cx="1057275" cy="348615"/>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057275" cy="349192"/>
                        </a:xfrm>
                        <a:prstGeom prst="rect">
                          <a:avLst/>
                        </a:prstGeom>
                        <a:noFill/>
                        <a:ln w="6350">
                          <a:noFill/>
                        </a:ln>
                      </wps:spPr>
                      <wps:txbx>
                        <w:txbxContent>
                          <w:p w14:paraId="004A7E4A">
                            <w:pPr>
                              <w:ind w:firstLine="210" w:firstLineChars="100"/>
                              <w:rPr>
                                <w:rFonts w:hint="default" w:eastAsia="宋体"/>
                                <w:b/>
                                <w:bCs/>
                                <w:sz w:val="21"/>
                                <w:szCs w:val="21"/>
                                <w:lang w:val="en-US" w:eastAsia="zh-CN"/>
                              </w:rPr>
                            </w:pPr>
                            <w:r>
                              <w:rPr>
                                <w:rFonts w:hint="eastAsia"/>
                                <w:b/>
                                <w:bCs/>
                                <w:sz w:val="21"/>
                                <w:szCs w:val="21"/>
                                <w:lang w:val="en-US" w:eastAsia="zh-CN"/>
                              </w:rPr>
                              <w:t>项目所在地</w:t>
                            </w:r>
                          </w:p>
                        </w:txbxContent>
                      </wps:txbx>
                      <wps:bodyPr upright="1"/>
                    </wps:wsp>
                  </a:graphicData>
                </a:graphic>
              </wp:anchor>
            </w:drawing>
          </mc:Choice>
          <mc:Fallback>
            <w:pict>
              <v:shape id="_x0000_s1026" o:spid="_x0000_s1026" o:spt="202" type="#_x0000_t202" style="position:absolute;left:0pt;margin-left:570.5pt;margin-top:363.85pt;height:27.45pt;width:83.25pt;z-index:251691008;mso-width-relative:page;mso-height-relative:page;" filled="f" stroked="f" coordsize="21600,21600" o:gfxdata="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aNz02N0AAAANAQAADwAAAAAAAAABACAAAAAiAAAAZHJzL2Rvd25yZXYueG1sUEsB&#10;AhQAFAAAAAgAh07iQFE5uQa3AQAAWQMAAA4AAAAAAAAAAQAgAAAALAEAAGRycy9lMm9Eb2MueG1s&#10;UEsFBgAAAAAGAAYAWQEAAFUFAAAAAA==&#10;">
                <v:fill on="f" focussize="0,0"/>
                <v:stroke on="f" weight="0.5pt"/>
                <v:imagedata o:title=""/>
                <o:lock v:ext="edit" aspectratio="f"/>
                <v:textbox>
                  <w:txbxContent>
                    <w:p w14:paraId="004A7E4A">
                      <w:pPr>
                        <w:ind w:firstLine="210" w:firstLineChars="100"/>
                        <w:rPr>
                          <w:rFonts w:hint="default" w:eastAsia="宋体"/>
                          <w:b/>
                          <w:bCs/>
                          <w:sz w:val="21"/>
                          <w:szCs w:val="21"/>
                          <w:lang w:val="en-US" w:eastAsia="zh-CN"/>
                        </w:rPr>
                      </w:pPr>
                      <w:r>
                        <w:rPr>
                          <w:rFonts w:hint="eastAsia"/>
                          <w:b/>
                          <w:bCs/>
                          <w:sz w:val="21"/>
                          <w:szCs w:val="21"/>
                          <w:lang w:val="en-US" w:eastAsia="zh-CN"/>
                        </w:rPr>
                        <w:t>项目所在地</w:t>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7011035</wp:posOffset>
                </wp:positionH>
                <wp:positionV relativeFrom="paragraph">
                  <wp:posOffset>4674870</wp:posOffset>
                </wp:positionV>
                <wp:extent cx="340360" cy="203200"/>
                <wp:effectExtent l="12700" t="12700" r="27940" b="12700"/>
                <wp:wrapNone/>
                <wp:docPr id="63" name="矩形 63"/>
                <wp:cNvGraphicFramePr/>
                <a:graphic xmlns:a="http://schemas.openxmlformats.org/drawingml/2006/main">
                  <a:graphicData uri="http://schemas.microsoft.com/office/word/2010/wordprocessingShape">
                    <wps:wsp>
                      <wps:cNvSpPr/>
                      <wps:spPr>
                        <a:xfrm>
                          <a:off x="0" y="0"/>
                          <a:ext cx="340020" cy="203018"/>
                        </a:xfrm>
                        <a:prstGeom prst="rect">
                          <a:avLst/>
                        </a:prstGeom>
                        <a:noFill/>
                        <a:ln w="25400" cap="flat" cmpd="sng">
                          <a:solidFill>
                            <a:schemeClr val="tx1"/>
                          </a:solidFill>
                          <a:prstDash val="dash"/>
                          <a:round/>
                          <a:headEnd type="none" w="med" len="med"/>
                          <a:tailEnd type="none" w="med" len="med"/>
                        </a:ln>
                      </wps:spPr>
                      <wps:bodyPr anchor="ctr" anchorCtr="0" upright="1"/>
                    </wps:wsp>
                  </a:graphicData>
                </a:graphic>
              </wp:anchor>
            </w:drawing>
          </mc:Choice>
          <mc:Fallback>
            <w:pict>
              <v:rect id="_x0000_s1026" o:spid="_x0000_s1026" o:spt="1" style="position:absolute;left:0pt;margin-left:552.05pt;margin-top:368.1pt;height:16pt;width:26.8pt;z-index:251691008;v-text-anchor:middle;mso-width-relative:page;mso-height-relative:page;" filled="f" stroked="t" coordsize="21600,21600" o:gfxdata="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p5aHNoAAAANAQAADwAAAAAAAAABACAAAAAiAAAAZHJz&#10;L2Rvd25yZXYueG1sUEsBAhQAFAAAAAgAh07iQBELF04CAgAAEQQAAA4AAAAAAAAAAQAgAAAAKQEA&#10;AGRycy9lMm9Eb2MueG1sUEsFBgAAAAAGAAYAWQEAAJ0FAAAAAA==&#10;">
                <v:fill on="f" focussize="0,0"/>
                <v:stroke weight="2pt" color="#000000 [3213]" joinstyle="round" dashstyle="dash"/>
                <v:imagedata o:title=""/>
                <o:lock v:ext="edit" aspectratio="f"/>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6940550</wp:posOffset>
                </wp:positionH>
                <wp:positionV relativeFrom="paragraph">
                  <wp:posOffset>4260850</wp:posOffset>
                </wp:positionV>
                <wp:extent cx="562610" cy="3492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562819" cy="349192"/>
                        </a:xfrm>
                        <a:prstGeom prst="rect">
                          <a:avLst/>
                        </a:prstGeom>
                        <a:noFill/>
                        <a:ln w="6350">
                          <a:noFill/>
                        </a:ln>
                      </wps:spPr>
                      <wps:txbx>
                        <w:txbxContent>
                          <w:p w14:paraId="127F9232">
                            <w:pPr>
                              <w:rPr>
                                <w:rFonts w:hint="default" w:eastAsia="宋体"/>
                                <w:b/>
                                <w:bCs/>
                                <w:lang w:val="en-US" w:eastAsia="zh-CN"/>
                              </w:rPr>
                            </w:pPr>
                            <w:r>
                              <w:rPr>
                                <w:rFonts w:hint="eastAsia"/>
                                <w:b/>
                                <w:bCs/>
                                <w:lang w:val="en-US" w:eastAsia="zh-CN"/>
                              </w:rPr>
                              <w:t>图例</w:t>
                            </w:r>
                          </w:p>
                        </w:txbxContent>
                      </wps:txbx>
                      <wps:bodyPr upright="1"/>
                    </wps:wsp>
                  </a:graphicData>
                </a:graphic>
              </wp:anchor>
            </w:drawing>
          </mc:Choice>
          <mc:Fallback>
            <w:pict>
              <v:shape id="_x0000_s1026" o:spid="_x0000_s1026" o:spt="202" type="#_x0000_t202" style="position:absolute;left:0pt;margin-left:546.5pt;margin-top:335.5pt;height:27.5pt;width:44.3pt;z-index:251691008;mso-width-relative:page;mso-height-relative:page;" filled="f" stroked="f" coordsize="21600,21600" o:gfxdata="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XZsmAN0AAAANAQAADwAAAAAAAAABACAAAAAiAAAAZHJzL2Rvd25yZXYueG1sUEsB&#10;AhQAFAAAAAgAh07iQHWtePW3AQAAWAMAAA4AAAAAAAAAAQAgAAAALAEAAGRycy9lMm9Eb2MueG1s&#10;UEsFBgAAAAAGAAYAWQEAAFUFAAAAAA==&#10;">
                <v:fill on="f" focussize="0,0"/>
                <v:stroke on="f" weight="0.5pt"/>
                <v:imagedata o:title=""/>
                <o:lock v:ext="edit" aspectratio="f"/>
                <v:textbox>
                  <w:txbxContent>
                    <w:p w14:paraId="127F9232">
                      <w:pPr>
                        <w:rPr>
                          <w:rFonts w:hint="default" w:eastAsia="宋体"/>
                          <w:b/>
                          <w:bCs/>
                          <w:lang w:val="en-US" w:eastAsia="zh-CN"/>
                        </w:rPr>
                      </w:pPr>
                      <w:r>
                        <w:rPr>
                          <w:rFonts w:hint="eastAsia"/>
                          <w:b/>
                          <w:bCs/>
                          <w:lang w:val="en-US" w:eastAsia="zh-CN"/>
                        </w:rPr>
                        <w:t>图例</w:t>
                      </w:r>
                    </w:p>
                  </w:txbxContent>
                </v:textbox>
              </v:shape>
            </w:pict>
          </mc:Fallback>
        </mc:AlternateContent>
      </w:r>
      <w:r>
        <w:rPr>
          <w:sz w:val="28"/>
        </w:rPr>
        <mc:AlternateContent>
          <mc:Choice Requires="wps">
            <w:drawing>
              <wp:anchor distT="0" distB="0" distL="114300" distR="114300" simplePos="0" relativeHeight="251689984" behindDoc="0" locked="0" layoutInCell="1" allowOverlap="1">
                <wp:simplePos x="0" y="0"/>
                <wp:positionH relativeFrom="column">
                  <wp:posOffset>1744345</wp:posOffset>
                </wp:positionH>
                <wp:positionV relativeFrom="paragraph">
                  <wp:posOffset>1010920</wp:posOffset>
                </wp:positionV>
                <wp:extent cx="266700" cy="165100"/>
                <wp:effectExtent l="4445" t="4445" r="14605" b="20955"/>
                <wp:wrapNone/>
                <wp:docPr id="76" name="任意多边形 76"/>
                <wp:cNvGraphicFramePr/>
                <a:graphic xmlns:a="http://schemas.openxmlformats.org/drawingml/2006/main">
                  <a:graphicData uri="http://schemas.microsoft.com/office/word/2010/wordprocessingShape">
                    <wps:wsp>
                      <wps:cNvSpPr/>
                      <wps:spPr>
                        <a:xfrm>
                          <a:off x="0" y="0"/>
                          <a:ext cx="266700" cy="165100"/>
                        </a:xfrm>
                        <a:custGeom>
                          <a:avLst/>
                          <a:gdLst/>
                          <a:ahLst/>
                          <a:cxnLst/>
                          <a:pathLst>
                            <a:path w="420" h="260">
                              <a:moveTo>
                                <a:pt x="0" y="90"/>
                              </a:moveTo>
                              <a:lnTo>
                                <a:pt x="200" y="260"/>
                              </a:lnTo>
                              <a:lnTo>
                                <a:pt x="420" y="0"/>
                              </a:lnTo>
                              <a:lnTo>
                                <a:pt x="0" y="90"/>
                              </a:lnTo>
                              <a:close/>
                            </a:path>
                          </a:pathLst>
                        </a:custGeom>
                        <a:solidFill>
                          <a:srgbClr val="FFFFFF"/>
                        </a:solidFill>
                        <a:ln w="9525" cap="flat" cmpd="sng">
                          <a:solidFill>
                            <a:srgbClr val="FFFFFF"/>
                          </a:solidFill>
                          <a:prstDash val="solid"/>
                          <a:headEnd type="none" w="med" len="med"/>
                          <a:tailEnd type="triangle" w="lg" len="lg"/>
                        </a:ln>
                      </wps:spPr>
                      <wps:bodyPr upright="1"/>
                    </wps:wsp>
                  </a:graphicData>
                </a:graphic>
              </wp:anchor>
            </w:drawing>
          </mc:Choice>
          <mc:Fallback>
            <w:pict>
              <v:shape id="_x0000_s1026" o:spid="_x0000_s1026" o:spt="100" style="position:absolute;left:0pt;margin-left:137.35pt;margin-top:79.6pt;height:13pt;width:21pt;z-index:251689984;mso-width-relative:page;mso-height-relative:page;" fillcolor="#FFFFFF" filled="t" stroked="t" coordsize="420,260" o:gfxdata="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4fP6HtsAAAALAQAADwAAAAAAAAABACAAAAAiAAAAZHJzL2Rvd25yZXYueG1sUEsBAhQAFAAAAAgA&#10;h07iQByQfXRbAgAAEQUAAA4AAAAAAAAAAQAgAAAAKgEAAGRycy9lMm9Eb2MueG1sUEsFBgAAAAAG&#10;AAYAWQEAAPcFAAAAAA==&#10;" path="m0,90l200,260,420,0,0,90xe">
                <v:fill on="t" focussize="0,0"/>
                <v:stroke color="#FFFFFF" joinstyle="round" endarrow="block" endarrowwidth="wide" endarrowlength="long"/>
                <v:imagedata o:title=""/>
                <o:lock v:ext="edit" aspectratio="f"/>
              </v:shape>
            </w:pict>
          </mc:Fallback>
        </mc:AlternateContent>
      </w:r>
      <w:r>
        <w:rPr>
          <w:sz w:val="28"/>
        </w:rPr>
        <mc:AlternateContent>
          <mc:Choice Requires="wps">
            <w:drawing>
              <wp:anchor distT="0" distB="0" distL="114300" distR="114300" simplePos="0" relativeHeight="251688960" behindDoc="0" locked="0" layoutInCell="1" allowOverlap="1">
                <wp:simplePos x="0" y="0"/>
                <wp:positionH relativeFrom="column">
                  <wp:posOffset>4335145</wp:posOffset>
                </wp:positionH>
                <wp:positionV relativeFrom="paragraph">
                  <wp:posOffset>4501515</wp:posOffset>
                </wp:positionV>
                <wp:extent cx="2112010" cy="683895"/>
                <wp:effectExtent l="4445" t="503555" r="17145" b="12700"/>
                <wp:wrapNone/>
                <wp:docPr id="73" name="矩形标注 73"/>
                <wp:cNvGraphicFramePr/>
                <a:graphic xmlns:a="http://schemas.openxmlformats.org/drawingml/2006/main">
                  <a:graphicData uri="http://schemas.microsoft.com/office/word/2010/wordprocessingShape">
                    <wps:wsp>
                      <wps:cNvSpPr/>
                      <wps:spPr>
                        <a:xfrm>
                          <a:off x="0" y="0"/>
                          <a:ext cx="2112010" cy="683895"/>
                        </a:xfrm>
                        <a:prstGeom prst="wedgeRectCallout">
                          <a:avLst>
                            <a:gd name="adj1" fmla="val -33193"/>
                            <a:gd name="adj2" fmla="val -122051"/>
                          </a:avLst>
                        </a:prstGeom>
                        <a:noFill/>
                        <a:ln w="9525" cap="flat" cmpd="sng">
                          <a:solidFill>
                            <a:srgbClr val="000000"/>
                          </a:solidFill>
                          <a:prstDash val="solid"/>
                          <a:miter/>
                          <a:headEnd type="none" w="med" len="med"/>
                          <a:tailEnd type="triangle" w="lg" len="lg"/>
                        </a:ln>
                      </wps:spPr>
                      <wps:txbx>
                        <w:txbxContent>
                          <w:p w14:paraId="1681E84F">
                            <w:pPr>
                              <w:keepNext w:val="0"/>
                              <w:keepLines w:val="0"/>
                              <w:pageBreakBefore w:val="0"/>
                              <w:widowControl w:val="0"/>
                              <w:kinsoku/>
                              <w:wordWrap/>
                              <w:overflowPunct/>
                              <w:topLinePunct w:val="0"/>
                              <w:bidi w:val="0"/>
                              <w:adjustRightInd w:val="0"/>
                              <w:snapToGrid w:val="0"/>
                              <w:textAlignment w:val="auto"/>
                              <w:rPr>
                                <w:rFonts w:hint="default" w:eastAsia="宋体"/>
                                <w:color w:val="auto"/>
                                <w:sz w:val="18"/>
                                <w:szCs w:val="18"/>
                                <w:lang w:val="en-US" w:eastAsia="zh-CN"/>
                              </w:rPr>
                            </w:pPr>
                            <w:r>
                              <w:rPr>
                                <w:rFonts w:hint="eastAsia"/>
                                <w:color w:val="auto"/>
                                <w:sz w:val="18"/>
                                <w:szCs w:val="18"/>
                                <w:lang w:val="en-US" w:eastAsia="zh-CN"/>
                              </w:rPr>
                              <w:t>1#仓库现阶段出租（面积1193.58m²），用于承租方原材料、产成品仓储（不含危险化学品）</w:t>
                            </w:r>
                          </w:p>
                          <w:p w14:paraId="13562CB7"/>
                        </w:txbxContent>
                      </wps:txbx>
                      <wps:bodyPr upright="1"/>
                    </wps:wsp>
                  </a:graphicData>
                </a:graphic>
              </wp:anchor>
            </w:drawing>
          </mc:Choice>
          <mc:Fallback>
            <w:pict>
              <v:shape id="_x0000_s1026" o:spid="_x0000_s1026" o:spt="61" type="#_x0000_t61" style="position:absolute;left:0pt;margin-left:341.35pt;margin-top:354.45pt;height:53.85pt;width:166.3pt;z-index:251688960;mso-width-relative:page;mso-height-relative:page;" filled="f" stroked="t" coordsize="21600,21600" o:gfxdata="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Xo0b5doAAAAMAQAADwAAAAAAAAABACAAAAAi&#10;AAAAZHJzL2Rvd25yZXYueG1sUEsBAhQAFAAAAAgAh07iQDd8i+ZBAgAAagQAAA4AAAAAAAAAAQAg&#10;AAAAKQEAAGRycy9lMm9Eb2MueG1sUEsFBgAAAAAGAAYAWQEAANwFAAAAAA==&#10;" adj="3630,-15563">
                <v:fill on="f" focussize="0,0"/>
                <v:stroke color="#000000" joinstyle="miter" endarrow="block" endarrowwidth="wide" endarrowlength="long"/>
                <v:imagedata o:title=""/>
                <o:lock v:ext="edit" aspectratio="f"/>
                <v:textbox>
                  <w:txbxContent>
                    <w:p w14:paraId="1681E84F">
                      <w:pPr>
                        <w:keepNext w:val="0"/>
                        <w:keepLines w:val="0"/>
                        <w:pageBreakBefore w:val="0"/>
                        <w:widowControl w:val="0"/>
                        <w:kinsoku/>
                        <w:wordWrap/>
                        <w:overflowPunct/>
                        <w:topLinePunct w:val="0"/>
                        <w:bidi w:val="0"/>
                        <w:adjustRightInd w:val="0"/>
                        <w:snapToGrid w:val="0"/>
                        <w:textAlignment w:val="auto"/>
                        <w:rPr>
                          <w:rFonts w:hint="default" w:eastAsia="宋体"/>
                          <w:color w:val="auto"/>
                          <w:sz w:val="18"/>
                          <w:szCs w:val="18"/>
                          <w:lang w:val="en-US" w:eastAsia="zh-CN"/>
                        </w:rPr>
                      </w:pPr>
                      <w:r>
                        <w:rPr>
                          <w:rFonts w:hint="eastAsia"/>
                          <w:color w:val="auto"/>
                          <w:sz w:val="18"/>
                          <w:szCs w:val="18"/>
                          <w:lang w:val="en-US" w:eastAsia="zh-CN"/>
                        </w:rPr>
                        <w:t>1#仓库现阶段出租（面积1193.58m²），用于承租方原材料、产成品仓储（不含危险化学品）</w:t>
                      </w:r>
                    </w:p>
                    <w:p w14:paraId="13562CB7"/>
                  </w:txbxContent>
                </v:textbox>
              </v:shape>
            </w:pict>
          </mc:Fallback>
        </mc:AlternateContent>
      </w:r>
      <w:r>
        <w:rPr>
          <w:sz w:val="28"/>
        </w:rPr>
        <mc:AlternateContent>
          <mc:Choice Requires="wps">
            <w:drawing>
              <wp:anchor distT="0" distB="0" distL="114300" distR="114300" simplePos="0" relativeHeight="251687936" behindDoc="0" locked="0" layoutInCell="1" allowOverlap="1">
                <wp:simplePos x="0" y="0"/>
                <wp:positionH relativeFrom="column">
                  <wp:posOffset>706120</wp:posOffset>
                </wp:positionH>
                <wp:positionV relativeFrom="paragraph">
                  <wp:posOffset>3590290</wp:posOffset>
                </wp:positionV>
                <wp:extent cx="2006600" cy="1063625"/>
                <wp:effectExtent l="5080" t="167640" r="788670" b="6985"/>
                <wp:wrapNone/>
                <wp:docPr id="65" name="矩形标注 65"/>
                <wp:cNvGraphicFramePr/>
                <a:graphic xmlns:a="http://schemas.openxmlformats.org/drawingml/2006/main">
                  <a:graphicData uri="http://schemas.microsoft.com/office/word/2010/wordprocessingShape">
                    <wps:wsp>
                      <wps:cNvSpPr/>
                      <wps:spPr>
                        <a:xfrm>
                          <a:off x="0" y="0"/>
                          <a:ext cx="2006600" cy="1063625"/>
                        </a:xfrm>
                        <a:prstGeom prst="wedgeRectCallout">
                          <a:avLst>
                            <a:gd name="adj1" fmla="val 87231"/>
                            <a:gd name="adj2" fmla="val -63954"/>
                          </a:avLst>
                        </a:prstGeom>
                        <a:noFill/>
                        <a:ln w="9525" cap="flat" cmpd="sng">
                          <a:solidFill>
                            <a:srgbClr val="000000"/>
                          </a:solidFill>
                          <a:prstDash val="solid"/>
                          <a:miter/>
                          <a:headEnd type="none" w="med" len="med"/>
                          <a:tailEnd type="triangle" w="lg" len="lg"/>
                        </a:ln>
                      </wps:spPr>
                      <wps:txbx>
                        <w:txbxContent>
                          <w:p w14:paraId="6DAC0D8F">
                            <w:pPr>
                              <w:keepNext w:val="0"/>
                              <w:keepLines w:val="0"/>
                              <w:pageBreakBefore w:val="0"/>
                              <w:widowControl w:val="0"/>
                              <w:kinsoku/>
                              <w:wordWrap/>
                              <w:overflowPunct/>
                              <w:topLinePunct w:val="0"/>
                              <w:bidi w:val="0"/>
                              <w:adjustRightInd w:val="0"/>
                              <w:snapToGrid w:val="0"/>
                              <w:textAlignment w:val="auto"/>
                              <w:rPr>
                                <w:rFonts w:hint="default" w:eastAsia="宋体"/>
                                <w:b/>
                                <w:bCs/>
                                <w:color w:val="auto"/>
                                <w:sz w:val="18"/>
                                <w:szCs w:val="18"/>
                                <w:lang w:val="en-US" w:eastAsia="zh-CN"/>
                              </w:rPr>
                            </w:pPr>
                            <w:r>
                              <w:rPr>
                                <w:rFonts w:hint="eastAsia"/>
                                <w:color w:val="auto"/>
                                <w:sz w:val="18"/>
                                <w:szCs w:val="18"/>
                                <w:lang w:val="en-US" w:eastAsia="zh-CN"/>
                              </w:rPr>
                              <w:t>2#生产车间现阶段一部分出租（面积2106.42m²），用于承租方原材料、产成品仓储（不含危险化学品）；一部分作为原料仓库（面积479.58m²）和危废暂存间（面积30m²）自用</w:t>
                            </w:r>
                          </w:p>
                          <w:p w14:paraId="19B151D6"/>
                        </w:txbxContent>
                      </wps:txbx>
                      <wps:bodyPr upright="1"/>
                    </wps:wsp>
                  </a:graphicData>
                </a:graphic>
              </wp:anchor>
            </w:drawing>
          </mc:Choice>
          <mc:Fallback>
            <w:pict>
              <v:shape id="_x0000_s1026" o:spid="_x0000_s1026" o:spt="61" type="#_x0000_t61" style="position:absolute;left:0pt;margin-left:55.6pt;margin-top:282.7pt;height:83.75pt;width:158pt;z-index:251687936;mso-width-relative:page;mso-height-relative:page;" filled="f" stroked="t" coordsize="21600,21600" o:gfxdata="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BIRGdcAAAALAQAADwAAAAAAAAABACAAAAAiAAAAZHJz&#10;L2Rvd25yZXYueG1sUEsBAhQAFAAAAAgAh07iQDimVHo+AgAAaQQAAA4AAAAAAAAAAQAgAAAAJgEA&#10;AGRycy9lMm9Eb2MueG1sUEsFBgAAAAAGAAYAWQEAANYFAAAAAA==&#10;" adj="29642,-3014">
                <v:fill on="f" focussize="0,0"/>
                <v:stroke color="#000000" joinstyle="miter" endarrow="block" endarrowwidth="wide" endarrowlength="long"/>
                <v:imagedata o:title=""/>
                <o:lock v:ext="edit" aspectratio="f"/>
                <v:textbox>
                  <w:txbxContent>
                    <w:p w14:paraId="6DAC0D8F">
                      <w:pPr>
                        <w:keepNext w:val="0"/>
                        <w:keepLines w:val="0"/>
                        <w:pageBreakBefore w:val="0"/>
                        <w:widowControl w:val="0"/>
                        <w:kinsoku/>
                        <w:wordWrap/>
                        <w:overflowPunct/>
                        <w:topLinePunct w:val="0"/>
                        <w:bidi w:val="0"/>
                        <w:adjustRightInd w:val="0"/>
                        <w:snapToGrid w:val="0"/>
                        <w:textAlignment w:val="auto"/>
                        <w:rPr>
                          <w:rFonts w:hint="default" w:eastAsia="宋体"/>
                          <w:b/>
                          <w:bCs/>
                          <w:color w:val="auto"/>
                          <w:sz w:val="18"/>
                          <w:szCs w:val="18"/>
                          <w:lang w:val="en-US" w:eastAsia="zh-CN"/>
                        </w:rPr>
                      </w:pPr>
                      <w:r>
                        <w:rPr>
                          <w:rFonts w:hint="eastAsia"/>
                          <w:color w:val="auto"/>
                          <w:sz w:val="18"/>
                          <w:szCs w:val="18"/>
                          <w:lang w:val="en-US" w:eastAsia="zh-CN"/>
                        </w:rPr>
                        <w:t>2#生产车间现阶段一部分出租（面积2106.42m²），用于承租方原材料、产成品仓储（不含危险化学品）；一部分作为原料仓库（面积479.58m²）和危废暂存间（面积30m²）自用</w:t>
                      </w:r>
                    </w:p>
                    <w:p w14:paraId="19B151D6"/>
                  </w:txbxContent>
                </v:textbox>
              </v:shape>
            </w:pict>
          </mc:Fallback>
        </mc:AlternateContent>
      </w:r>
    </w:p>
    <w:p w14:paraId="32A2F308">
      <w:pPr>
        <w:pStyle w:val="2"/>
        <w:jc w:val="center"/>
        <w:rPr>
          <w:rFonts w:hint="eastAsia"/>
          <w:lang w:eastAsia="zh-CN"/>
        </w:rPr>
        <w:sectPr>
          <w:footerReference r:id="rId13" w:type="default"/>
          <w:pgSz w:w="16838" w:h="11906" w:orient="landscape"/>
          <w:pgMar w:top="1531" w:right="1701" w:bottom="1531" w:left="1701" w:header="851" w:footer="850" w:gutter="0"/>
          <w:pgBorders>
            <w:top w:val="none" w:sz="0" w:space="0"/>
            <w:left w:val="none" w:sz="0" w:space="0"/>
            <w:bottom w:val="none" w:sz="0" w:space="0"/>
            <w:right w:val="none" w:sz="0" w:space="0"/>
          </w:pgBorders>
          <w:pgNumType w:fmt="decimal"/>
          <w:cols w:space="720" w:num="1"/>
          <w:docGrid w:linePitch="312" w:charSpace="0"/>
        </w:sectPr>
      </w:pPr>
      <w:r>
        <w:rPr>
          <w:sz w:val="28"/>
        </w:rPr>
        <mc:AlternateContent>
          <mc:Choice Requires="wps">
            <w:drawing>
              <wp:anchor distT="0" distB="0" distL="114300" distR="114300" simplePos="0" relativeHeight="251678720" behindDoc="0" locked="0" layoutInCell="1" allowOverlap="1">
                <wp:simplePos x="0" y="0"/>
                <wp:positionH relativeFrom="column">
                  <wp:posOffset>4213225</wp:posOffset>
                </wp:positionH>
                <wp:positionV relativeFrom="paragraph">
                  <wp:posOffset>3841750</wp:posOffset>
                </wp:positionV>
                <wp:extent cx="824865" cy="31496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824865" cy="314960"/>
                        </a:xfrm>
                        <a:prstGeom prst="rect">
                          <a:avLst/>
                        </a:prstGeom>
                        <a:noFill/>
                        <a:ln>
                          <a:noFill/>
                        </a:ln>
                      </wps:spPr>
                      <wps:txbx>
                        <w:txbxContent>
                          <w:p w14:paraId="6E8711B5">
                            <w:pPr>
                              <w:rPr>
                                <w:rFonts w:hint="default" w:eastAsia="宋体"/>
                                <w:sz w:val="18"/>
                                <w:szCs w:val="18"/>
                                <w:lang w:val="en-US" w:eastAsia="zh-CN"/>
                              </w:rPr>
                            </w:pPr>
                            <w:r>
                              <w:rPr>
                                <w:rFonts w:hint="eastAsia"/>
                                <w:sz w:val="18"/>
                                <w:szCs w:val="18"/>
                                <w:lang w:val="en-US" w:eastAsia="zh-CN"/>
                              </w:rPr>
                              <w:t>（</w:t>
                            </w:r>
                            <w:r>
                              <w:rPr>
                                <w:rFonts w:hint="eastAsia"/>
                                <w:b w:val="0"/>
                                <w:bCs w:val="0"/>
                                <w:color w:val="auto"/>
                                <w:sz w:val="18"/>
                                <w:szCs w:val="18"/>
                                <w:lang w:val="en-US" w:eastAsia="zh-CN"/>
                              </w:rPr>
                              <w:t>出租区域</w:t>
                            </w:r>
                            <w:r>
                              <w:rPr>
                                <w:rFonts w:hint="eastAsia"/>
                                <w:sz w:val="18"/>
                                <w:szCs w:val="18"/>
                                <w:lang w:val="en-US" w:eastAsia="zh-CN"/>
                              </w:rPr>
                              <w:t>）</w:t>
                            </w:r>
                          </w:p>
                        </w:txbxContent>
                      </wps:txbx>
                      <wps:bodyPr upright="1"/>
                    </wps:wsp>
                  </a:graphicData>
                </a:graphic>
              </wp:anchor>
            </w:drawing>
          </mc:Choice>
          <mc:Fallback>
            <w:pict>
              <v:shape id="_x0000_s1026" o:spid="_x0000_s1026" o:spt="202" type="#_x0000_t202" style="position:absolute;left:0pt;margin-left:331.75pt;margin-top:302.5pt;height:24.8pt;width:64.95pt;z-index:251678720;mso-width-relative:page;mso-height-relative:page;" filled="f" stroked="f" coordsize="21600,21600" o:gfxdata="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XEvjv&#10;2AAAAAsBAAAPAAAAAAAAAAEAIAAAACIAAABkcnMvZG93bnJldi54bWxQSwECFAAUAAAACACHTuJA&#10;dmyDpq8BAABPAwAADgAAAAAAAAABACAAAAAnAQAAZHJzL2Uyb0RvYy54bWxQSwUGAAAAAAYABgBZ&#10;AQAASAUAAAAA&#10;">
                <v:fill on="f" focussize="0,0"/>
                <v:stroke on="f"/>
                <v:imagedata o:title=""/>
                <o:lock v:ext="edit" aspectratio="f"/>
                <v:textbox>
                  <w:txbxContent>
                    <w:p w14:paraId="6E8711B5">
                      <w:pPr>
                        <w:rPr>
                          <w:rFonts w:hint="default" w:eastAsia="宋体"/>
                          <w:sz w:val="18"/>
                          <w:szCs w:val="18"/>
                          <w:lang w:val="en-US" w:eastAsia="zh-CN"/>
                        </w:rPr>
                      </w:pPr>
                      <w:r>
                        <w:rPr>
                          <w:rFonts w:hint="eastAsia"/>
                          <w:sz w:val="18"/>
                          <w:szCs w:val="18"/>
                          <w:lang w:val="en-US" w:eastAsia="zh-CN"/>
                        </w:rPr>
                        <w:t>（</w:t>
                      </w:r>
                      <w:r>
                        <w:rPr>
                          <w:rFonts w:hint="eastAsia"/>
                          <w:b w:val="0"/>
                          <w:bCs w:val="0"/>
                          <w:color w:val="auto"/>
                          <w:sz w:val="18"/>
                          <w:szCs w:val="18"/>
                          <w:lang w:val="en-US" w:eastAsia="zh-CN"/>
                        </w:rPr>
                        <w:t>出租区域</w:t>
                      </w:r>
                      <w:r>
                        <w:rPr>
                          <w:rFonts w:hint="eastAsia"/>
                          <w:sz w:val="18"/>
                          <w:szCs w:val="18"/>
                          <w:lang w:val="en-US" w:eastAsia="zh-CN"/>
                        </w:rPr>
                        <w:t>）</w:t>
                      </w:r>
                    </w:p>
                  </w:txbxContent>
                </v:textbox>
              </v:shape>
            </w:pict>
          </mc:Fallback>
        </mc:AlternateContent>
      </w:r>
      <w:r>
        <w:rPr>
          <w:sz w:val="28"/>
        </w:rPr>
        <mc:AlternateContent>
          <mc:Choice Requires="wps">
            <w:drawing>
              <wp:anchor distT="0" distB="0" distL="114300" distR="114300" simplePos="0" relativeHeight="251677696" behindDoc="0" locked="0" layoutInCell="1" allowOverlap="1">
                <wp:simplePos x="0" y="0"/>
                <wp:positionH relativeFrom="column">
                  <wp:posOffset>3514725</wp:posOffset>
                </wp:positionH>
                <wp:positionV relativeFrom="paragraph">
                  <wp:posOffset>4010660</wp:posOffset>
                </wp:positionV>
                <wp:extent cx="337185" cy="231775"/>
                <wp:effectExtent l="0" t="0" r="5715" b="15875"/>
                <wp:wrapNone/>
                <wp:docPr id="71" name="文本框 71"/>
                <wp:cNvGraphicFramePr/>
                <a:graphic xmlns:a="http://schemas.openxmlformats.org/drawingml/2006/main">
                  <a:graphicData uri="http://schemas.microsoft.com/office/word/2010/wordprocessingShape">
                    <wps:wsp>
                      <wps:cNvSpPr txBox="1"/>
                      <wps:spPr>
                        <a:xfrm>
                          <a:off x="0" y="0"/>
                          <a:ext cx="337185" cy="231775"/>
                        </a:xfrm>
                        <a:prstGeom prst="rect">
                          <a:avLst/>
                        </a:prstGeom>
                        <a:solidFill>
                          <a:srgbClr val="FFFFFF"/>
                        </a:solidFill>
                        <a:ln>
                          <a:noFill/>
                        </a:ln>
                      </wps:spPr>
                      <wps:txbx>
                        <w:txbxContent>
                          <w:p w14:paraId="12ADFC79">
                            <w:pPr>
                              <w:keepNext w:val="0"/>
                              <w:keepLines w:val="0"/>
                              <w:pageBreakBefore w:val="0"/>
                              <w:widowControl w:val="0"/>
                              <w:kinsoku/>
                              <w:wordWrap/>
                              <w:overflowPunct/>
                              <w:topLinePunct w:val="0"/>
                              <w:bidi w:val="0"/>
                              <w:adjustRightInd w:val="0"/>
                              <w:snapToGrid w:val="0"/>
                              <w:textAlignment w:val="auto"/>
                              <w:rPr>
                                <w:rFonts w:hint="default"/>
                                <w:sz w:val="18"/>
                                <w:szCs w:val="18"/>
                                <w:lang w:val="en-US" w:eastAsia="zh-CN"/>
                              </w:rPr>
                            </w:pPr>
                            <w:r>
                              <w:rPr>
                                <w:rFonts w:hint="eastAsia"/>
                                <w:sz w:val="18"/>
                                <w:szCs w:val="18"/>
                                <w:lang w:val="en-US" w:eastAsia="zh-CN"/>
                              </w:rPr>
                              <w:t>2#</w:t>
                            </w:r>
                          </w:p>
                        </w:txbxContent>
                      </wps:txbx>
                      <wps:bodyPr upright="1"/>
                    </wps:wsp>
                  </a:graphicData>
                </a:graphic>
              </wp:anchor>
            </w:drawing>
          </mc:Choice>
          <mc:Fallback>
            <w:pict>
              <v:shape id="_x0000_s1026" o:spid="_x0000_s1026" o:spt="202" type="#_x0000_t202" style="position:absolute;left:0pt;margin-left:276.75pt;margin-top:315.8pt;height:18.25pt;width:26.55pt;z-index:251677696;mso-width-relative:page;mso-height-relative:page;" fillcolor="#FFFFFF" filled="t" stroked="f" coordsize="21600,21600" o:gfxdata="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OSvME2AAAAAsBAAAPAAAAAAAAAAEAIAAAACIAAABkcnMvZG93bnJldi54&#10;bWxQSwECFAAUAAAACACHTuJAEM9cz8EBAAB4AwAADgAAAAAAAAABACAAAAAnAQAAZHJzL2Uyb0Rv&#10;Yy54bWxQSwUGAAAAAAYABgBZAQAAWgUAAAAA&#10;">
                <v:fill on="t" focussize="0,0"/>
                <v:stroke on="f"/>
                <v:imagedata o:title=""/>
                <o:lock v:ext="edit" aspectratio="f"/>
                <v:textbox>
                  <w:txbxContent>
                    <w:p w14:paraId="12ADFC79">
                      <w:pPr>
                        <w:keepNext w:val="0"/>
                        <w:keepLines w:val="0"/>
                        <w:pageBreakBefore w:val="0"/>
                        <w:widowControl w:val="0"/>
                        <w:kinsoku/>
                        <w:wordWrap/>
                        <w:overflowPunct/>
                        <w:topLinePunct w:val="0"/>
                        <w:bidi w:val="0"/>
                        <w:adjustRightInd w:val="0"/>
                        <w:snapToGrid w:val="0"/>
                        <w:textAlignment w:val="auto"/>
                        <w:rPr>
                          <w:rFonts w:hint="default"/>
                          <w:sz w:val="18"/>
                          <w:szCs w:val="18"/>
                          <w:lang w:val="en-US" w:eastAsia="zh-CN"/>
                        </w:rPr>
                      </w:pPr>
                      <w:r>
                        <w:rPr>
                          <w:rFonts w:hint="eastAsia"/>
                          <w:sz w:val="18"/>
                          <w:szCs w:val="18"/>
                          <w:lang w:val="en-US" w:eastAsia="zh-CN"/>
                        </w:rPr>
                        <w:t>2#</w:t>
                      </w:r>
                    </w:p>
                  </w:txbxContent>
                </v:textbox>
              </v:shape>
            </w:pict>
          </mc:Fallback>
        </mc:AlternateContent>
      </w:r>
      <w:r>
        <w:rPr>
          <w:sz w:val="28"/>
        </w:rPr>
        <mc:AlternateContent>
          <mc:Choice Requires="wps">
            <w:drawing>
              <wp:anchor distT="0" distB="0" distL="114300" distR="114300" simplePos="0" relativeHeight="251676672" behindDoc="0" locked="0" layoutInCell="1" allowOverlap="1">
                <wp:simplePos x="0" y="0"/>
                <wp:positionH relativeFrom="column">
                  <wp:posOffset>4373880</wp:posOffset>
                </wp:positionH>
                <wp:positionV relativeFrom="paragraph">
                  <wp:posOffset>3695065</wp:posOffset>
                </wp:positionV>
                <wp:extent cx="649605" cy="366395"/>
                <wp:effectExtent l="0" t="0" r="17145" b="14605"/>
                <wp:wrapNone/>
                <wp:docPr id="70" name="文本框 70"/>
                <wp:cNvGraphicFramePr/>
                <a:graphic xmlns:a="http://schemas.openxmlformats.org/drawingml/2006/main">
                  <a:graphicData uri="http://schemas.microsoft.com/office/word/2010/wordprocessingShape">
                    <wps:wsp>
                      <wps:cNvSpPr txBox="1"/>
                      <wps:spPr>
                        <a:xfrm>
                          <a:off x="0" y="0"/>
                          <a:ext cx="649605" cy="366395"/>
                        </a:xfrm>
                        <a:prstGeom prst="rect">
                          <a:avLst/>
                        </a:prstGeom>
                        <a:solidFill>
                          <a:srgbClr val="FFFFFF"/>
                        </a:solidFill>
                        <a:ln>
                          <a:noFill/>
                        </a:ln>
                      </wps:spPr>
                      <wps:txbx>
                        <w:txbxContent>
                          <w:p w14:paraId="2D9E3C55">
                            <w:pPr>
                              <w:rPr>
                                <w:rFonts w:hint="default" w:eastAsia="宋体"/>
                                <w:sz w:val="18"/>
                                <w:szCs w:val="18"/>
                                <w:lang w:val="en-US" w:eastAsia="zh-CN"/>
                              </w:rPr>
                            </w:pPr>
                            <w:r>
                              <w:rPr>
                                <w:rFonts w:hint="eastAsia"/>
                                <w:sz w:val="18"/>
                                <w:szCs w:val="18"/>
                                <w:lang w:val="en-US" w:eastAsia="zh-CN"/>
                              </w:rPr>
                              <w:t>1#仓库</w:t>
                            </w:r>
                          </w:p>
                        </w:txbxContent>
                      </wps:txbx>
                      <wps:bodyPr upright="1"/>
                    </wps:wsp>
                  </a:graphicData>
                </a:graphic>
              </wp:anchor>
            </w:drawing>
          </mc:Choice>
          <mc:Fallback>
            <w:pict>
              <v:shape id="_x0000_s1026" o:spid="_x0000_s1026" o:spt="202" type="#_x0000_t202" style="position:absolute;left:0pt;margin-left:344.4pt;margin-top:290.95pt;height:28.85pt;width:51.15pt;z-index:251676672;mso-width-relative:page;mso-height-relative:page;" fillcolor="#FFFFFF" filled="t" stroked="f" coordsize="21600,21600" o:gfxdata="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xjP+w2AAAAAsBAAAPAAAAAAAAAAEAIAAAACIAAABkcnMvZG93bnJldi54&#10;bWxQSwECFAAUAAAACACHTuJAl5LEL8EBAAB4AwAADgAAAAAAAAABACAAAAAnAQAAZHJzL2Uyb0Rv&#10;Yy54bWxQSwUGAAAAAAYABgBZAQAAWgUAAAAA&#10;">
                <v:fill on="t" focussize="0,0"/>
                <v:stroke on="f"/>
                <v:imagedata o:title=""/>
                <o:lock v:ext="edit" aspectratio="f"/>
                <v:textbox>
                  <w:txbxContent>
                    <w:p w14:paraId="2D9E3C55">
                      <w:pPr>
                        <w:rPr>
                          <w:rFonts w:hint="default" w:eastAsia="宋体"/>
                          <w:sz w:val="18"/>
                          <w:szCs w:val="18"/>
                          <w:lang w:val="en-US" w:eastAsia="zh-CN"/>
                        </w:rPr>
                      </w:pPr>
                      <w:r>
                        <w:rPr>
                          <w:rFonts w:hint="eastAsia"/>
                          <w:sz w:val="18"/>
                          <w:szCs w:val="18"/>
                          <w:lang w:val="en-US" w:eastAsia="zh-CN"/>
                        </w:rPr>
                        <w:t>1#仓库</w:t>
                      </w:r>
                    </w:p>
                  </w:txbxContent>
                </v:textbox>
              </v:shape>
            </w:pict>
          </mc:Fallback>
        </mc:AlternateContent>
      </w:r>
      <w:r>
        <w:rPr>
          <w:sz w:val="28"/>
        </w:rPr>
        <mc:AlternateContent>
          <mc:Choice Requires="wps">
            <w:drawing>
              <wp:anchor distT="0" distB="0" distL="114300" distR="114300" simplePos="0" relativeHeight="251675648" behindDoc="0" locked="0" layoutInCell="1" allowOverlap="1">
                <wp:simplePos x="0" y="0"/>
                <wp:positionH relativeFrom="column">
                  <wp:posOffset>3642995</wp:posOffset>
                </wp:positionH>
                <wp:positionV relativeFrom="paragraph">
                  <wp:posOffset>3000375</wp:posOffset>
                </wp:positionV>
                <wp:extent cx="824865" cy="31496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824865" cy="314960"/>
                        </a:xfrm>
                        <a:prstGeom prst="rect">
                          <a:avLst/>
                        </a:prstGeom>
                        <a:noFill/>
                        <a:ln>
                          <a:noFill/>
                        </a:ln>
                      </wps:spPr>
                      <wps:txbx>
                        <w:txbxContent>
                          <w:p w14:paraId="2C10D166">
                            <w:pPr>
                              <w:rPr>
                                <w:rFonts w:hint="default" w:eastAsia="宋体"/>
                                <w:sz w:val="18"/>
                                <w:szCs w:val="18"/>
                                <w:lang w:val="en-US" w:eastAsia="zh-CN"/>
                              </w:rPr>
                            </w:pPr>
                            <w:r>
                              <w:rPr>
                                <w:rFonts w:hint="eastAsia"/>
                                <w:sz w:val="18"/>
                                <w:szCs w:val="18"/>
                                <w:lang w:val="en-US" w:eastAsia="zh-CN"/>
                              </w:rPr>
                              <w:t>（</w:t>
                            </w:r>
                            <w:r>
                              <w:rPr>
                                <w:rFonts w:hint="eastAsia"/>
                                <w:b w:val="0"/>
                                <w:bCs w:val="0"/>
                                <w:color w:val="auto"/>
                                <w:sz w:val="18"/>
                                <w:szCs w:val="18"/>
                                <w:lang w:val="en-US" w:eastAsia="zh-CN"/>
                              </w:rPr>
                              <w:t>出租区域</w:t>
                            </w:r>
                            <w:r>
                              <w:rPr>
                                <w:rFonts w:hint="eastAsia"/>
                                <w:sz w:val="18"/>
                                <w:szCs w:val="18"/>
                                <w:lang w:val="en-US" w:eastAsia="zh-CN"/>
                              </w:rPr>
                              <w:t>）</w:t>
                            </w:r>
                          </w:p>
                        </w:txbxContent>
                      </wps:txbx>
                      <wps:bodyPr upright="1"/>
                    </wps:wsp>
                  </a:graphicData>
                </a:graphic>
              </wp:anchor>
            </w:drawing>
          </mc:Choice>
          <mc:Fallback>
            <w:pict>
              <v:shape id="_x0000_s1026" o:spid="_x0000_s1026" o:spt="202" type="#_x0000_t202" style="position:absolute;left:0pt;margin-left:286.85pt;margin-top:236.25pt;height:24.8pt;width:64.95pt;z-index:251675648;mso-width-relative:page;mso-height-relative:page;" filled="f" stroked="f" coordsize="21600,21600" o:gfxdata="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cS5x&#10;sdkAAAALAQAADwAAAAAAAAABACAAAAAiAAAAZHJzL2Rvd25yZXYueG1sUEsBAhQAFAAAAAgAh07i&#10;QEHLMGuvAQAATwMAAA4AAAAAAAAAAQAgAAAAKAEAAGRycy9lMm9Eb2MueG1sUEsFBgAAAAAGAAYA&#10;WQEAAEkFAAAAAA==&#10;">
                <v:fill on="f" focussize="0,0"/>
                <v:stroke on="f"/>
                <v:imagedata o:title=""/>
                <o:lock v:ext="edit" aspectratio="f"/>
                <v:textbox>
                  <w:txbxContent>
                    <w:p w14:paraId="2C10D166">
                      <w:pPr>
                        <w:rPr>
                          <w:rFonts w:hint="default" w:eastAsia="宋体"/>
                          <w:sz w:val="18"/>
                          <w:szCs w:val="18"/>
                          <w:lang w:val="en-US" w:eastAsia="zh-CN"/>
                        </w:rPr>
                      </w:pPr>
                      <w:r>
                        <w:rPr>
                          <w:rFonts w:hint="eastAsia"/>
                          <w:sz w:val="18"/>
                          <w:szCs w:val="18"/>
                          <w:lang w:val="en-US" w:eastAsia="zh-CN"/>
                        </w:rPr>
                        <w:t>（</w:t>
                      </w:r>
                      <w:r>
                        <w:rPr>
                          <w:rFonts w:hint="eastAsia"/>
                          <w:b w:val="0"/>
                          <w:bCs w:val="0"/>
                          <w:color w:val="auto"/>
                          <w:sz w:val="18"/>
                          <w:szCs w:val="18"/>
                          <w:lang w:val="en-US" w:eastAsia="zh-CN"/>
                        </w:rPr>
                        <w:t>出租区域</w:t>
                      </w:r>
                      <w:r>
                        <w:rPr>
                          <w:rFonts w:hint="eastAsia"/>
                          <w:sz w:val="18"/>
                          <w:szCs w:val="18"/>
                          <w:lang w:val="en-US" w:eastAsia="zh-CN"/>
                        </w:rPr>
                        <w:t>）</w:t>
                      </w:r>
                    </w:p>
                  </w:txbxContent>
                </v:textbox>
              </v:shape>
            </w:pict>
          </mc:Fallback>
        </mc:AlternateContent>
      </w:r>
      <w:r>
        <w:rPr>
          <w:sz w:val="28"/>
        </w:rPr>
        <mc:AlternateContent>
          <mc:Choice Requires="wps">
            <w:drawing>
              <wp:anchor distT="0" distB="0" distL="114300" distR="114300" simplePos="0" relativeHeight="251674624" behindDoc="0" locked="0" layoutInCell="1" allowOverlap="1">
                <wp:simplePos x="0" y="0"/>
                <wp:positionH relativeFrom="column">
                  <wp:posOffset>3517900</wp:posOffset>
                </wp:positionH>
                <wp:positionV relativeFrom="paragraph">
                  <wp:posOffset>2966085</wp:posOffset>
                </wp:positionV>
                <wp:extent cx="1169670" cy="243205"/>
                <wp:effectExtent l="4445" t="4445" r="6985" b="19050"/>
                <wp:wrapNone/>
                <wp:docPr id="67" name="任意多边形 67"/>
                <wp:cNvGraphicFramePr/>
                <a:graphic xmlns:a="http://schemas.openxmlformats.org/drawingml/2006/main">
                  <a:graphicData uri="http://schemas.microsoft.com/office/word/2010/wordprocessingShape">
                    <wps:wsp>
                      <wps:cNvSpPr/>
                      <wps:spPr>
                        <a:xfrm>
                          <a:off x="0" y="0"/>
                          <a:ext cx="1169670" cy="243205"/>
                        </a:xfrm>
                        <a:custGeom>
                          <a:avLst/>
                          <a:gdLst/>
                          <a:ahLst/>
                          <a:cxnLst/>
                          <a:pathLst>
                            <a:path w="1842" h="383">
                              <a:moveTo>
                                <a:pt x="0" y="0"/>
                              </a:moveTo>
                              <a:lnTo>
                                <a:pt x="42" y="223"/>
                              </a:lnTo>
                              <a:lnTo>
                                <a:pt x="209" y="383"/>
                              </a:lnTo>
                              <a:lnTo>
                                <a:pt x="1792" y="291"/>
                              </a:lnTo>
                              <a:lnTo>
                                <a:pt x="1842" y="100"/>
                              </a:lnTo>
                              <a:lnTo>
                                <a:pt x="0" y="0"/>
                              </a:lnTo>
                              <a:close/>
                            </a:path>
                          </a:pathLst>
                        </a:custGeom>
                        <a:solidFill>
                          <a:srgbClr val="FFFFFF"/>
                        </a:solidFill>
                        <a:ln w="9525" cap="flat" cmpd="sng">
                          <a:solidFill>
                            <a:srgbClr val="FFFFFF"/>
                          </a:solidFill>
                          <a:prstDash val="solid"/>
                          <a:headEnd type="none" w="med" len="med"/>
                          <a:tailEnd type="triangle" w="lg" len="lg"/>
                        </a:ln>
                      </wps:spPr>
                      <wps:bodyPr upright="1"/>
                    </wps:wsp>
                  </a:graphicData>
                </a:graphic>
              </wp:anchor>
            </w:drawing>
          </mc:Choice>
          <mc:Fallback>
            <w:pict>
              <v:shape id="_x0000_s1026" o:spid="_x0000_s1026" o:spt="100" style="position:absolute;left:0pt;margin-left:277pt;margin-top:233.55pt;height:19.15pt;width:92.1pt;z-index:251674624;mso-width-relative:page;mso-height-relative:page;" fillcolor="#FFFFFF" filled="t" stroked="t" coordsize="1842,383" o:gfxdata="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&#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jdtnC1wAAAAsBAAAPAAAAAAAAAAEAIAAAACIAAABk&#10;cnMvZG93bnJldi54bWxQSwECFAAUAAAACACHTuJAl4TtxHkCAABkBQAADgAAAAAAAAABACAAAAAm&#10;AQAAZHJzL2Uyb0RvYy54bWxQSwUGAAAAAAYABgBZAQAAEQYAAAAA&#10;" path="m0,0l42,223,209,383,1792,291,1842,100,0,0xe">
                <v:fill on="t" focussize="0,0"/>
                <v:stroke color="#FFFFFF" joinstyle="round" endarrow="block" endarrowwidth="wide" endarrowlength="long"/>
                <v:imagedata o:title=""/>
                <o:lock v:ext="edit" aspectratio="f"/>
              </v:shape>
            </w:pict>
          </mc:Fallback>
        </mc:AlternateContent>
      </w:r>
      <w:r>
        <w:rPr>
          <w:sz w:val="28"/>
        </w:rPr>
        <mc:AlternateContent>
          <mc:Choice Requires="wps">
            <w:drawing>
              <wp:anchor distT="0" distB="0" distL="114300" distR="114300" simplePos="0" relativeHeight="251673600" behindDoc="0" locked="0" layoutInCell="1" allowOverlap="1">
                <wp:simplePos x="0" y="0"/>
                <wp:positionH relativeFrom="column">
                  <wp:posOffset>3420110</wp:posOffset>
                </wp:positionH>
                <wp:positionV relativeFrom="paragraph">
                  <wp:posOffset>2871470</wp:posOffset>
                </wp:positionV>
                <wp:extent cx="381000" cy="782955"/>
                <wp:effectExtent l="4445" t="1905" r="14605" b="15240"/>
                <wp:wrapNone/>
                <wp:docPr id="66" name="任意多边形 66"/>
                <wp:cNvGraphicFramePr/>
                <a:graphic xmlns:a="http://schemas.openxmlformats.org/drawingml/2006/main">
                  <a:graphicData uri="http://schemas.microsoft.com/office/word/2010/wordprocessingShape">
                    <wps:wsp>
                      <wps:cNvSpPr/>
                      <wps:spPr>
                        <a:xfrm>
                          <a:off x="0" y="0"/>
                          <a:ext cx="381000" cy="782955"/>
                        </a:xfrm>
                        <a:custGeom>
                          <a:avLst/>
                          <a:gdLst/>
                          <a:ahLst/>
                          <a:cxnLst/>
                          <a:pathLst>
                            <a:path w="550" h="1317">
                              <a:moveTo>
                                <a:pt x="0" y="0"/>
                              </a:moveTo>
                              <a:lnTo>
                                <a:pt x="550" y="1317"/>
                              </a:lnTo>
                            </a:path>
                          </a:pathLst>
                        </a:custGeom>
                        <a:noFill/>
                        <a:ln w="9525" cap="flat" cmpd="sng">
                          <a:solidFill>
                            <a:srgbClr val="000000"/>
                          </a:solidFill>
                          <a:prstDash val="solid"/>
                          <a:headEnd type="none" w="med" len="med"/>
                          <a:tailEnd type="none" w="lg" len="lg"/>
                        </a:ln>
                      </wps:spPr>
                      <wps:bodyPr upright="1"/>
                    </wps:wsp>
                  </a:graphicData>
                </a:graphic>
              </wp:anchor>
            </w:drawing>
          </mc:Choice>
          <mc:Fallback>
            <w:pict>
              <v:shape id="_x0000_s1026" o:spid="_x0000_s1026" o:spt="100" style="position:absolute;left:0pt;margin-left:269.3pt;margin-top:226.1pt;height:61.65pt;width:30pt;z-index:251673600;mso-width-relative:page;mso-height-relative:page;" filled="f" stroked="t" coordsize="550,1317" o:gfxdata="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&#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vAAy72gAAAAsBAAAPAAAAAAAAAAEAIAAAACIAAABk&#10;cnMvZG93bnJldi54bWxQSwECFAAUAAAACACHTuJAg88wGT0CAACQBAAADgAAAAAAAAABACAAAAAp&#10;AQAAZHJzL2Uyb0RvYy54bWxQSwUGAAAAAAYABgBZAQAA2AUAAAAA&#10;" path="m0,0l550,1317e">
                <v:fill on="f" focussize="0,0"/>
                <v:stroke color="#000000" joinstyle="round" endarrowwidth="wide" endarrowlength="long"/>
                <v:imagedata o:title=""/>
                <o:lock v:ext="edit" aspectratio="f"/>
              </v:shape>
            </w:pict>
          </mc:Fallback>
        </mc:AlternateContent>
      </w:r>
    </w:p>
    <w:p w14:paraId="43BD63EE">
      <w:pPr>
        <w:keepNext w:val="0"/>
        <w:keepLines w:val="0"/>
        <w:pageBreakBefore w:val="0"/>
        <w:widowControl/>
        <w:kinsoku/>
        <w:wordWrap/>
        <w:overflowPunct/>
        <w:topLinePunct w:val="0"/>
        <w:autoSpaceDE/>
        <w:autoSpaceDN/>
        <w:bidi w:val="0"/>
        <w:adjustRightInd w:val="0"/>
        <w:snapToGrid w:val="0"/>
        <w:jc w:val="both"/>
        <w:textAlignment w:val="auto"/>
        <w:outlineLvl w:val="1"/>
        <w:rPr>
          <w:rFonts w:hint="eastAsia" w:ascii="Times New Roman" w:hAnsi="Times New Roman" w:eastAsia="宋体" w:cs="Times New Roman"/>
          <w:b/>
          <w:bCs/>
          <w:color w:val="auto"/>
          <w:sz w:val="24"/>
          <w:szCs w:val="24"/>
          <w:lang w:val="en-US" w:eastAsia="zh-CN"/>
        </w:rPr>
      </w:pPr>
      <w:r>
        <w:rPr>
          <w:color w:val="auto"/>
          <w:sz w:val="28"/>
        </w:rPr>
        <mc:AlternateContent>
          <mc:Choice Requires="wps">
            <w:drawing>
              <wp:anchor distT="0" distB="0" distL="114300" distR="114300" simplePos="0" relativeHeight="251670528" behindDoc="0" locked="0" layoutInCell="1" allowOverlap="1">
                <wp:simplePos x="0" y="0"/>
                <wp:positionH relativeFrom="column">
                  <wp:posOffset>5334000</wp:posOffset>
                </wp:positionH>
                <wp:positionV relativeFrom="paragraph">
                  <wp:posOffset>2943860</wp:posOffset>
                </wp:positionV>
                <wp:extent cx="1428115" cy="618490"/>
                <wp:effectExtent l="0" t="0" r="0" b="0"/>
                <wp:wrapNone/>
                <wp:docPr id="157" name="文本框 157"/>
                <wp:cNvGraphicFramePr/>
                <a:graphic xmlns:a="http://schemas.openxmlformats.org/drawingml/2006/main">
                  <a:graphicData uri="http://schemas.microsoft.com/office/word/2010/wordprocessingShape">
                    <wps:wsp>
                      <wps:cNvSpPr txBox="1"/>
                      <wps:spPr>
                        <a:xfrm>
                          <a:off x="0" y="0"/>
                          <a:ext cx="1428115" cy="618490"/>
                        </a:xfrm>
                        <a:prstGeom prst="rect">
                          <a:avLst/>
                        </a:prstGeom>
                        <a:noFill/>
                        <a:ln>
                          <a:noFill/>
                        </a:ln>
                      </wps:spPr>
                      <wps:txbx>
                        <w:txbxContent>
                          <w:p w14:paraId="559BC864">
                            <w:pPr>
                              <w:rPr>
                                <w:rFonts w:hint="default"/>
                                <w:color w:val="FFFFFF"/>
                                <w:lang w:val="en-US" w:eastAsia="zh-CN"/>
                              </w:rPr>
                            </w:pPr>
                            <w:r>
                              <w:rPr>
                                <w:rFonts w:hint="eastAsia"/>
                                <w:b/>
                                <w:bCs/>
                                <w:color w:val="FFFFFF"/>
                                <w:sz w:val="21"/>
                                <w:szCs w:val="21"/>
                                <w:lang w:val="en-US" w:eastAsia="zh-CN"/>
                              </w:rPr>
                              <w:t>马路上</w:t>
                            </w:r>
                          </w:p>
                        </w:txbxContent>
                      </wps:txbx>
                      <wps:bodyPr upright="1"/>
                    </wps:wsp>
                  </a:graphicData>
                </a:graphic>
              </wp:anchor>
            </w:drawing>
          </mc:Choice>
          <mc:Fallback>
            <w:pict>
              <v:shape id="_x0000_s1026" o:spid="_x0000_s1026" o:spt="202" type="#_x0000_t202" style="position:absolute;left:0pt;margin-left:420pt;margin-top:231.8pt;height:48.7pt;width:112.45pt;z-index:251670528;mso-width-relative:page;mso-height-relative:page;" filled="f" stroked="f" coordsize="21600,21600" o:gfxdata="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9uyl&#10;ntgAAAAMAQAADwAAAAAAAAABACAAAAAiAAAAZHJzL2Rvd25yZXYueG1sUEsBAhQAFAAAAAgAh07i&#10;QGZadPmwAQAAUgMAAA4AAAAAAAAAAQAgAAAAJwEAAGRycy9lMm9Eb2MueG1sUEsFBgAAAAAGAAYA&#10;WQEAAEkFAAAAAA==&#10;">
                <v:fill on="f" focussize="0,0"/>
                <v:stroke on="f"/>
                <v:imagedata o:title=""/>
                <o:lock v:ext="edit" aspectratio="f"/>
                <v:textbox>
                  <w:txbxContent>
                    <w:p w14:paraId="559BC864">
                      <w:pPr>
                        <w:rPr>
                          <w:rFonts w:hint="default"/>
                          <w:color w:val="FFFFFF"/>
                          <w:lang w:val="en-US" w:eastAsia="zh-CN"/>
                        </w:rPr>
                      </w:pPr>
                      <w:r>
                        <w:rPr>
                          <w:rFonts w:hint="eastAsia"/>
                          <w:b/>
                          <w:bCs/>
                          <w:color w:val="FFFFFF"/>
                          <w:sz w:val="21"/>
                          <w:szCs w:val="21"/>
                          <w:lang w:val="en-US" w:eastAsia="zh-CN"/>
                        </w:rPr>
                        <w:t>马路上</w:t>
                      </w:r>
                    </w:p>
                  </w:txbxContent>
                </v:textbox>
              </v:shape>
            </w:pict>
          </mc:Fallback>
        </mc:AlternateContent>
      </w:r>
      <w:r>
        <w:rPr>
          <w:rFonts w:hint="eastAsia" w:ascii="Times New Roman" w:hAnsi="Times New Roman" w:eastAsia="宋体" w:cs="Times New Roman"/>
          <w:b/>
          <w:bCs/>
          <w:color w:val="auto"/>
          <w:sz w:val="24"/>
          <w:szCs w:val="24"/>
          <w:lang w:val="en-US" w:eastAsia="zh-CN"/>
        </w:rPr>
        <w:t>附图4 项目建设现状图</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8"/>
        <w:gridCol w:w="4259"/>
      </w:tblGrid>
      <w:tr w14:paraId="1C14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7F9E5930">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drawing>
                <wp:inline distT="0" distB="0" distL="114300" distR="114300">
                  <wp:extent cx="2564130" cy="1926590"/>
                  <wp:effectExtent l="0" t="0" r="7620" b="16510"/>
                  <wp:docPr id="88" name="图片 88" descr="微信图片_20260421100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微信图片_202604211001161"/>
                          <pic:cNvPicPr>
                            <a:picLocks noChangeAspect="1"/>
                          </pic:cNvPicPr>
                        </pic:nvPicPr>
                        <pic:blipFill>
                          <a:blip r:embed="rId30"/>
                          <a:stretch>
                            <a:fillRect/>
                          </a:stretch>
                        </pic:blipFill>
                        <pic:spPr>
                          <a:xfrm>
                            <a:off x="0" y="0"/>
                            <a:ext cx="2564130" cy="1926590"/>
                          </a:xfrm>
                          <a:prstGeom prst="rect">
                            <a:avLst/>
                          </a:prstGeom>
                        </pic:spPr>
                      </pic:pic>
                    </a:graphicData>
                  </a:graphic>
                </wp:inline>
              </w:drawing>
            </w:r>
          </w:p>
        </w:tc>
        <w:tc>
          <w:tcPr>
            <w:tcW w:w="2500" w:type="pct"/>
            <w:vAlign w:val="center"/>
          </w:tcPr>
          <w:p w14:paraId="150177AE">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drawing>
                <wp:inline distT="0" distB="0" distL="114300" distR="114300">
                  <wp:extent cx="2536190" cy="1936115"/>
                  <wp:effectExtent l="0" t="0" r="16510" b="6985"/>
                  <wp:docPr id="69" name="图片 69" descr="复卷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复卷机"/>
                          <pic:cNvPicPr>
                            <a:picLocks noChangeAspect="1"/>
                          </pic:cNvPicPr>
                        </pic:nvPicPr>
                        <pic:blipFill>
                          <a:blip r:embed="rId31"/>
                          <a:stretch>
                            <a:fillRect/>
                          </a:stretch>
                        </pic:blipFill>
                        <pic:spPr>
                          <a:xfrm>
                            <a:off x="0" y="0"/>
                            <a:ext cx="2536190" cy="1936115"/>
                          </a:xfrm>
                          <a:prstGeom prst="rect">
                            <a:avLst/>
                          </a:prstGeom>
                        </pic:spPr>
                      </pic:pic>
                    </a:graphicData>
                  </a:graphic>
                </wp:inline>
              </w:drawing>
            </w:r>
          </w:p>
        </w:tc>
      </w:tr>
      <w:tr w14:paraId="469E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18FB7337">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印刷</w:t>
            </w:r>
            <w:r>
              <w:rPr>
                <w:rFonts w:hint="eastAsia" w:ascii="Times New Roman" w:hAnsi="Times New Roman" w:eastAsia="宋体" w:cs="Times New Roman"/>
                <w:color w:val="auto"/>
                <w:sz w:val="21"/>
                <w:szCs w:val="21"/>
                <w:lang w:val="en-US" w:eastAsia="zh-CN"/>
              </w:rPr>
              <w:t>机</w:t>
            </w:r>
          </w:p>
        </w:tc>
        <w:tc>
          <w:tcPr>
            <w:tcW w:w="2500" w:type="pct"/>
            <w:vAlign w:val="center"/>
          </w:tcPr>
          <w:p w14:paraId="71B641F1">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复卷机</w:t>
            </w:r>
          </w:p>
        </w:tc>
      </w:tr>
      <w:tr w14:paraId="4F2D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3" w:hRule="atLeast"/>
          <w:jc w:val="center"/>
        </w:trPr>
        <w:tc>
          <w:tcPr>
            <w:tcW w:w="2499" w:type="pct"/>
            <w:vAlign w:val="center"/>
          </w:tcPr>
          <w:p w14:paraId="243D556D">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drawing>
                <wp:inline distT="0" distB="0" distL="114300" distR="114300">
                  <wp:extent cx="2536190" cy="1910080"/>
                  <wp:effectExtent l="0" t="0" r="16510" b="13970"/>
                  <wp:docPr id="7" name="图片 7" descr="涂布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涂布机"/>
                          <pic:cNvPicPr>
                            <a:picLocks noChangeAspect="1"/>
                          </pic:cNvPicPr>
                        </pic:nvPicPr>
                        <pic:blipFill>
                          <a:blip r:embed="rId32"/>
                          <a:stretch>
                            <a:fillRect/>
                          </a:stretch>
                        </pic:blipFill>
                        <pic:spPr>
                          <a:xfrm>
                            <a:off x="0" y="0"/>
                            <a:ext cx="2536190" cy="1910080"/>
                          </a:xfrm>
                          <a:prstGeom prst="rect">
                            <a:avLst/>
                          </a:prstGeom>
                        </pic:spPr>
                      </pic:pic>
                    </a:graphicData>
                  </a:graphic>
                </wp:inline>
              </w:drawing>
            </w:r>
          </w:p>
        </w:tc>
        <w:tc>
          <w:tcPr>
            <w:tcW w:w="2500" w:type="pct"/>
            <w:vAlign w:val="center"/>
          </w:tcPr>
          <w:p w14:paraId="21E4ABA0">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FF0000"/>
                <w:sz w:val="21"/>
                <w:szCs w:val="21"/>
                <w:lang w:eastAsia="zh-CN"/>
              </w:rPr>
              <w:drawing>
                <wp:inline distT="0" distB="0" distL="114300" distR="114300">
                  <wp:extent cx="2564130" cy="1905000"/>
                  <wp:effectExtent l="0" t="0" r="7620" b="0"/>
                  <wp:docPr id="89" name="图片 89" descr="微信图片_20260421100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微信图片_202604211001151"/>
                          <pic:cNvPicPr>
                            <a:picLocks noChangeAspect="1"/>
                          </pic:cNvPicPr>
                        </pic:nvPicPr>
                        <pic:blipFill>
                          <a:blip r:embed="rId33"/>
                          <a:srcRect t="29565"/>
                          <a:stretch>
                            <a:fillRect/>
                          </a:stretch>
                        </pic:blipFill>
                        <pic:spPr>
                          <a:xfrm>
                            <a:off x="0" y="0"/>
                            <a:ext cx="2564130" cy="1905000"/>
                          </a:xfrm>
                          <a:prstGeom prst="rect">
                            <a:avLst/>
                          </a:prstGeom>
                        </pic:spPr>
                      </pic:pic>
                    </a:graphicData>
                  </a:graphic>
                </wp:inline>
              </w:drawing>
            </w:r>
          </w:p>
        </w:tc>
      </w:tr>
      <w:tr w14:paraId="6337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2E7BC087">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color w:val="auto"/>
                <w:sz w:val="21"/>
                <w:szCs w:val="21"/>
                <w:lang w:val="en-US" w:eastAsia="zh-CN"/>
              </w:rPr>
              <w:t>涂布机</w:t>
            </w:r>
          </w:p>
        </w:tc>
        <w:tc>
          <w:tcPr>
            <w:tcW w:w="2500" w:type="pct"/>
            <w:vAlign w:val="center"/>
          </w:tcPr>
          <w:p w14:paraId="72A9ACEB">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涂布机烘箱</w:t>
            </w:r>
          </w:p>
        </w:tc>
      </w:tr>
      <w:tr w14:paraId="5F75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08003442">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drawing>
                <wp:inline distT="0" distB="0" distL="114300" distR="114300">
                  <wp:extent cx="2560320" cy="2990850"/>
                  <wp:effectExtent l="0" t="0" r="0" b="0"/>
                  <wp:docPr id="90" name="图片 90" descr="微信图片_20260421095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微信图片_202604210957221"/>
                          <pic:cNvPicPr>
                            <a:picLocks noChangeAspect="1"/>
                          </pic:cNvPicPr>
                        </pic:nvPicPr>
                        <pic:blipFill>
                          <a:blip r:embed="rId34"/>
                          <a:srcRect t="12258"/>
                          <a:stretch>
                            <a:fillRect/>
                          </a:stretch>
                        </pic:blipFill>
                        <pic:spPr>
                          <a:xfrm>
                            <a:off x="0" y="0"/>
                            <a:ext cx="2560320" cy="2990850"/>
                          </a:xfrm>
                          <a:prstGeom prst="rect">
                            <a:avLst/>
                          </a:prstGeom>
                        </pic:spPr>
                      </pic:pic>
                    </a:graphicData>
                  </a:graphic>
                </wp:inline>
              </w:drawing>
            </w:r>
          </w:p>
        </w:tc>
        <w:tc>
          <w:tcPr>
            <w:tcW w:w="2500" w:type="pct"/>
            <w:vAlign w:val="center"/>
          </w:tcPr>
          <w:p w14:paraId="787B4370">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drawing>
                <wp:inline distT="0" distB="0" distL="114300" distR="114300">
                  <wp:extent cx="2560320" cy="2997200"/>
                  <wp:effectExtent l="0" t="0" r="11430" b="12700"/>
                  <wp:docPr id="92" name="图片 92" descr="微信图片_20260421095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微信图片_20260421095722"/>
                          <pic:cNvPicPr>
                            <a:picLocks noChangeAspect="1"/>
                          </pic:cNvPicPr>
                        </pic:nvPicPr>
                        <pic:blipFill>
                          <a:blip r:embed="rId35"/>
                          <a:srcRect t="11420"/>
                          <a:stretch>
                            <a:fillRect/>
                          </a:stretch>
                        </pic:blipFill>
                        <pic:spPr>
                          <a:xfrm>
                            <a:off x="0" y="0"/>
                            <a:ext cx="2560320" cy="2997200"/>
                          </a:xfrm>
                          <a:prstGeom prst="rect">
                            <a:avLst/>
                          </a:prstGeom>
                        </pic:spPr>
                      </pic:pic>
                    </a:graphicData>
                  </a:graphic>
                </wp:inline>
              </w:drawing>
            </w:r>
          </w:p>
        </w:tc>
      </w:tr>
      <w:tr w14:paraId="380B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1F29E0EB">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危废暂存间（外）</w:t>
            </w:r>
          </w:p>
        </w:tc>
        <w:tc>
          <w:tcPr>
            <w:tcW w:w="2500" w:type="pct"/>
            <w:vAlign w:val="center"/>
          </w:tcPr>
          <w:p w14:paraId="551BD49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危废暂存间（内）</w:t>
            </w:r>
          </w:p>
        </w:tc>
      </w:tr>
      <w:tr w14:paraId="1001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5CB6D742">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drawing>
                <wp:inline distT="0" distB="0" distL="114300" distR="114300">
                  <wp:extent cx="2560320" cy="2812415"/>
                  <wp:effectExtent l="0" t="0" r="0" b="0"/>
                  <wp:docPr id="102" name="图片 102" descr="微信图片_202604210957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微信图片_202604210957224"/>
                          <pic:cNvPicPr>
                            <a:picLocks noChangeAspect="1"/>
                          </pic:cNvPicPr>
                        </pic:nvPicPr>
                        <pic:blipFill>
                          <a:blip r:embed="rId36"/>
                          <a:srcRect t="17493"/>
                          <a:stretch>
                            <a:fillRect/>
                          </a:stretch>
                        </pic:blipFill>
                        <pic:spPr>
                          <a:xfrm>
                            <a:off x="0" y="0"/>
                            <a:ext cx="2560320" cy="2812415"/>
                          </a:xfrm>
                          <a:prstGeom prst="rect">
                            <a:avLst/>
                          </a:prstGeom>
                        </pic:spPr>
                      </pic:pic>
                    </a:graphicData>
                  </a:graphic>
                </wp:inline>
              </w:drawing>
            </w:r>
          </w:p>
        </w:tc>
        <w:tc>
          <w:tcPr>
            <w:tcW w:w="2500" w:type="pct"/>
            <w:vAlign w:val="center"/>
          </w:tcPr>
          <w:p w14:paraId="15C0CFFF">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drawing>
                <wp:inline distT="0" distB="0" distL="114300" distR="114300">
                  <wp:extent cx="2564130" cy="2805430"/>
                  <wp:effectExtent l="0" t="0" r="7620" b="13970"/>
                  <wp:docPr id="103" name="图片 103" descr="微信图片_20260421095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微信图片_20260421095704"/>
                          <pic:cNvPicPr>
                            <a:picLocks noChangeAspect="1"/>
                          </pic:cNvPicPr>
                        </pic:nvPicPr>
                        <pic:blipFill>
                          <a:blip r:embed="rId37"/>
                          <a:stretch>
                            <a:fillRect/>
                          </a:stretch>
                        </pic:blipFill>
                        <pic:spPr>
                          <a:xfrm>
                            <a:off x="0" y="0"/>
                            <a:ext cx="2564130" cy="2805430"/>
                          </a:xfrm>
                          <a:prstGeom prst="rect">
                            <a:avLst/>
                          </a:prstGeom>
                        </pic:spPr>
                      </pic:pic>
                    </a:graphicData>
                  </a:graphic>
                </wp:inline>
              </w:drawing>
            </w:r>
          </w:p>
        </w:tc>
      </w:tr>
      <w:tr w14:paraId="3D1C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66C0DC0A">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危化品库（外）</w:t>
            </w:r>
          </w:p>
        </w:tc>
        <w:tc>
          <w:tcPr>
            <w:tcW w:w="2500" w:type="pct"/>
            <w:vAlign w:val="center"/>
          </w:tcPr>
          <w:p w14:paraId="5819C0F0">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危化品库（内）</w:t>
            </w:r>
          </w:p>
        </w:tc>
      </w:tr>
      <w:tr w14:paraId="5EFB1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3C3184D4">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drawing>
                <wp:inline distT="0" distB="0" distL="114300" distR="114300">
                  <wp:extent cx="2564130" cy="1926590"/>
                  <wp:effectExtent l="0" t="0" r="7620" b="16510"/>
                  <wp:docPr id="97" name="图片 97" descr="微信图片_2026042110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微信图片_20260421100116"/>
                          <pic:cNvPicPr>
                            <a:picLocks noChangeAspect="1"/>
                          </pic:cNvPicPr>
                        </pic:nvPicPr>
                        <pic:blipFill>
                          <a:blip r:embed="rId38"/>
                          <a:stretch>
                            <a:fillRect/>
                          </a:stretch>
                        </pic:blipFill>
                        <pic:spPr>
                          <a:xfrm>
                            <a:off x="0" y="0"/>
                            <a:ext cx="2564130" cy="1926590"/>
                          </a:xfrm>
                          <a:prstGeom prst="rect">
                            <a:avLst/>
                          </a:prstGeom>
                        </pic:spPr>
                      </pic:pic>
                    </a:graphicData>
                  </a:graphic>
                </wp:inline>
              </w:drawing>
            </w:r>
          </w:p>
        </w:tc>
        <w:tc>
          <w:tcPr>
            <w:tcW w:w="2500" w:type="pct"/>
            <w:vAlign w:val="center"/>
          </w:tcPr>
          <w:p w14:paraId="32551B81">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drawing>
                <wp:inline distT="0" distB="0" distL="114300" distR="114300">
                  <wp:extent cx="2564130" cy="1926590"/>
                  <wp:effectExtent l="0" t="0" r="7620" b="16510"/>
                  <wp:docPr id="106" name="图片 106" descr="微信图片_20260421095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微信图片_202604210952293"/>
                          <pic:cNvPicPr>
                            <a:picLocks noChangeAspect="1"/>
                          </pic:cNvPicPr>
                        </pic:nvPicPr>
                        <pic:blipFill>
                          <a:blip r:embed="rId39"/>
                          <a:stretch>
                            <a:fillRect/>
                          </a:stretch>
                        </pic:blipFill>
                        <pic:spPr>
                          <a:xfrm>
                            <a:off x="0" y="0"/>
                            <a:ext cx="2564130" cy="1926590"/>
                          </a:xfrm>
                          <a:prstGeom prst="rect">
                            <a:avLst/>
                          </a:prstGeom>
                        </pic:spPr>
                      </pic:pic>
                    </a:graphicData>
                  </a:graphic>
                </wp:inline>
              </w:drawing>
            </w:r>
          </w:p>
        </w:tc>
      </w:tr>
      <w:tr w14:paraId="22894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499" w:type="pct"/>
            <w:vAlign w:val="center"/>
          </w:tcPr>
          <w:p w14:paraId="26C26DF9">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涂布机集气罩</w:t>
            </w:r>
          </w:p>
        </w:tc>
        <w:tc>
          <w:tcPr>
            <w:tcW w:w="2500" w:type="pct"/>
            <w:vAlign w:val="center"/>
          </w:tcPr>
          <w:p w14:paraId="2C005610">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污水排放口截止阀</w:t>
            </w:r>
          </w:p>
        </w:tc>
      </w:tr>
      <w:tr w14:paraId="1F34B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042DFC6C">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drawing>
                <wp:inline distT="0" distB="0" distL="114300" distR="114300">
                  <wp:extent cx="2560320" cy="3038475"/>
                  <wp:effectExtent l="0" t="0" r="0" b="0"/>
                  <wp:docPr id="107" name="图片 107" descr="微信图片_20260421095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微信图片_202604210952294"/>
                          <pic:cNvPicPr>
                            <a:picLocks noChangeAspect="1"/>
                          </pic:cNvPicPr>
                        </pic:nvPicPr>
                        <pic:blipFill>
                          <a:blip r:embed="rId40"/>
                          <a:srcRect t="8104" b="2757"/>
                          <a:stretch>
                            <a:fillRect/>
                          </a:stretch>
                        </pic:blipFill>
                        <pic:spPr>
                          <a:xfrm>
                            <a:off x="0" y="0"/>
                            <a:ext cx="2560320" cy="3038475"/>
                          </a:xfrm>
                          <a:prstGeom prst="rect">
                            <a:avLst/>
                          </a:prstGeom>
                        </pic:spPr>
                      </pic:pic>
                    </a:graphicData>
                  </a:graphic>
                </wp:inline>
              </w:drawing>
            </w:r>
          </w:p>
        </w:tc>
        <w:tc>
          <w:tcPr>
            <w:tcW w:w="2500" w:type="pct"/>
            <w:vAlign w:val="center"/>
          </w:tcPr>
          <w:p w14:paraId="39475726">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drawing>
                <wp:inline distT="0" distB="0" distL="114300" distR="114300">
                  <wp:extent cx="2560320" cy="3044825"/>
                  <wp:effectExtent l="0" t="0" r="0" b="0"/>
                  <wp:docPr id="104" name="图片 104" descr="微信图片_20260421095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微信图片_202604210952302"/>
                          <pic:cNvPicPr>
                            <a:picLocks noChangeAspect="1"/>
                          </pic:cNvPicPr>
                        </pic:nvPicPr>
                        <pic:blipFill>
                          <a:blip r:embed="rId41"/>
                          <a:srcRect t="10674"/>
                          <a:stretch>
                            <a:fillRect/>
                          </a:stretch>
                        </pic:blipFill>
                        <pic:spPr>
                          <a:xfrm>
                            <a:off x="0" y="0"/>
                            <a:ext cx="2560320" cy="3044825"/>
                          </a:xfrm>
                          <a:prstGeom prst="rect">
                            <a:avLst/>
                          </a:prstGeom>
                        </pic:spPr>
                      </pic:pic>
                    </a:graphicData>
                  </a:graphic>
                </wp:inline>
              </w:drawing>
            </w:r>
          </w:p>
        </w:tc>
      </w:tr>
      <w:tr w14:paraId="03B0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6E7E25A2">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化粪池</w:t>
            </w:r>
          </w:p>
        </w:tc>
        <w:tc>
          <w:tcPr>
            <w:tcW w:w="2500" w:type="pct"/>
            <w:vAlign w:val="center"/>
          </w:tcPr>
          <w:p w14:paraId="707AF4A3">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废水外排管</w:t>
            </w:r>
          </w:p>
        </w:tc>
      </w:tr>
      <w:tr w14:paraId="4CC9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4171A6C1">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drawing>
                <wp:inline distT="0" distB="0" distL="114300" distR="114300">
                  <wp:extent cx="2556510" cy="1924050"/>
                  <wp:effectExtent l="0" t="0" r="15240" b="0"/>
                  <wp:docPr id="93" name="图片 93" descr="微信图片_202604210954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微信图片_202604210954371"/>
                          <pic:cNvPicPr>
                            <a:picLocks noChangeAspect="1"/>
                          </pic:cNvPicPr>
                        </pic:nvPicPr>
                        <pic:blipFill>
                          <a:blip r:embed="rId42"/>
                          <a:stretch>
                            <a:fillRect/>
                          </a:stretch>
                        </pic:blipFill>
                        <pic:spPr>
                          <a:xfrm>
                            <a:off x="0" y="0"/>
                            <a:ext cx="2556510" cy="1924050"/>
                          </a:xfrm>
                          <a:prstGeom prst="rect">
                            <a:avLst/>
                          </a:prstGeom>
                        </pic:spPr>
                      </pic:pic>
                    </a:graphicData>
                  </a:graphic>
                </wp:inline>
              </w:drawing>
            </w:r>
          </w:p>
        </w:tc>
        <w:tc>
          <w:tcPr>
            <w:tcW w:w="2500" w:type="pct"/>
            <w:vAlign w:val="center"/>
          </w:tcPr>
          <w:p w14:paraId="3B1C08EF">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drawing>
                <wp:inline distT="0" distB="0" distL="114300" distR="114300">
                  <wp:extent cx="2564130" cy="1926590"/>
                  <wp:effectExtent l="0" t="0" r="7620" b="16510"/>
                  <wp:docPr id="96" name="图片 96" descr="微信图片_202604210954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微信图片_202604210954375"/>
                          <pic:cNvPicPr>
                            <a:picLocks noChangeAspect="1"/>
                          </pic:cNvPicPr>
                        </pic:nvPicPr>
                        <pic:blipFill>
                          <a:blip r:embed="rId43"/>
                          <a:stretch>
                            <a:fillRect/>
                          </a:stretch>
                        </pic:blipFill>
                        <pic:spPr>
                          <a:xfrm>
                            <a:off x="0" y="0"/>
                            <a:ext cx="2564130" cy="1926590"/>
                          </a:xfrm>
                          <a:prstGeom prst="rect">
                            <a:avLst/>
                          </a:prstGeom>
                        </pic:spPr>
                      </pic:pic>
                    </a:graphicData>
                  </a:graphic>
                </wp:inline>
              </w:drawing>
            </w:r>
          </w:p>
        </w:tc>
      </w:tr>
      <w:tr w14:paraId="3D41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02C3035A">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催化燃烧一体机</w:t>
            </w:r>
          </w:p>
        </w:tc>
        <w:tc>
          <w:tcPr>
            <w:tcW w:w="2500" w:type="pct"/>
            <w:vAlign w:val="center"/>
          </w:tcPr>
          <w:p w14:paraId="1CAAFE59">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气动旋流净化塔+干式过滤箱+活性炭吸附浓缩+催化燃烧</w:t>
            </w:r>
          </w:p>
        </w:tc>
      </w:tr>
      <w:tr w14:paraId="488E7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7A1156AA">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drawing>
                <wp:inline distT="0" distB="0" distL="114300" distR="114300">
                  <wp:extent cx="2560320" cy="3408680"/>
                  <wp:effectExtent l="0" t="0" r="11430" b="1270"/>
                  <wp:docPr id="98" name="图片 98" descr="微信图片_202604210954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微信图片_202604210954376"/>
                          <pic:cNvPicPr>
                            <a:picLocks noChangeAspect="1"/>
                          </pic:cNvPicPr>
                        </pic:nvPicPr>
                        <pic:blipFill>
                          <a:blip r:embed="rId44"/>
                          <a:stretch>
                            <a:fillRect/>
                          </a:stretch>
                        </pic:blipFill>
                        <pic:spPr>
                          <a:xfrm>
                            <a:off x="0" y="0"/>
                            <a:ext cx="2560320" cy="3408680"/>
                          </a:xfrm>
                          <a:prstGeom prst="rect">
                            <a:avLst/>
                          </a:prstGeom>
                        </pic:spPr>
                      </pic:pic>
                    </a:graphicData>
                  </a:graphic>
                </wp:inline>
              </w:drawing>
            </w:r>
          </w:p>
        </w:tc>
        <w:tc>
          <w:tcPr>
            <w:tcW w:w="2500" w:type="pct"/>
            <w:vAlign w:val="center"/>
          </w:tcPr>
          <w:p w14:paraId="5D3F43EA">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drawing>
                <wp:inline distT="0" distB="0" distL="114300" distR="114300">
                  <wp:extent cx="2565400" cy="3411855"/>
                  <wp:effectExtent l="0" t="0" r="6350" b="17145"/>
                  <wp:docPr id="87" name="图片 87" descr="微信图片_20260421095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微信图片_20260421095437"/>
                          <pic:cNvPicPr>
                            <a:picLocks noChangeAspect="1"/>
                          </pic:cNvPicPr>
                        </pic:nvPicPr>
                        <pic:blipFill>
                          <a:blip r:embed="rId45"/>
                          <a:stretch>
                            <a:fillRect/>
                          </a:stretch>
                        </pic:blipFill>
                        <pic:spPr>
                          <a:xfrm>
                            <a:off x="0" y="0"/>
                            <a:ext cx="2565400" cy="3411855"/>
                          </a:xfrm>
                          <a:prstGeom prst="rect">
                            <a:avLst/>
                          </a:prstGeom>
                        </pic:spPr>
                      </pic:pic>
                    </a:graphicData>
                  </a:graphic>
                </wp:inline>
              </w:drawing>
            </w:r>
          </w:p>
        </w:tc>
      </w:tr>
      <w:tr w14:paraId="663E7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7540624A">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催化剂填充处/电加热区</w:t>
            </w:r>
          </w:p>
        </w:tc>
        <w:tc>
          <w:tcPr>
            <w:tcW w:w="2500" w:type="pct"/>
            <w:vAlign w:val="center"/>
          </w:tcPr>
          <w:p w14:paraId="6E91C2DE">
            <w:pPr>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废气排气筒</w:t>
            </w:r>
          </w:p>
        </w:tc>
      </w:tr>
    </w:tbl>
    <w:p w14:paraId="44A00738">
      <w:pPr>
        <w:keepNext w:val="0"/>
        <w:keepLines w:val="0"/>
        <w:pageBreakBefore w:val="0"/>
        <w:widowControl/>
        <w:kinsoku/>
        <w:wordWrap/>
        <w:overflowPunct/>
        <w:topLinePunct w:val="0"/>
        <w:autoSpaceDE/>
        <w:autoSpaceDN/>
        <w:bidi w:val="0"/>
        <w:adjustRightInd w:val="0"/>
        <w:snapToGrid w:val="0"/>
        <w:textAlignment w:val="auto"/>
        <w:outlineLvl w:val="1"/>
        <w:rPr>
          <w:rFonts w:hint="default" w:ascii="Times New Roman" w:hAnsi="Times New Roman" w:eastAsia="宋体" w:cs="Times New Roman"/>
          <w:b/>
          <w:bCs/>
          <w:color w:val="FF0000"/>
          <w:sz w:val="24"/>
          <w:szCs w:val="24"/>
        </w:rPr>
        <w:sectPr>
          <w:footerReference r:id="rId1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663C6B7">
      <w:pPr>
        <w:keepNext w:val="0"/>
        <w:keepLines w:val="0"/>
        <w:pageBreakBefore w:val="0"/>
        <w:widowControl/>
        <w:kinsoku/>
        <w:wordWrap/>
        <w:overflowPunct/>
        <w:topLinePunct w:val="0"/>
        <w:autoSpaceDE/>
        <w:autoSpaceDN/>
        <w:bidi w:val="0"/>
        <w:adjustRightInd w:val="0"/>
        <w:snapToGrid w:val="0"/>
        <w:textAlignment w:val="auto"/>
        <w:outlineLvl w:val="1"/>
        <w:rPr>
          <w:rFonts w:hint="default" w:ascii="Times New Roman" w:hAnsi="Times New Roman" w:eastAsia="宋体" w:cs="Times New Roman"/>
          <w:b/>
          <w:bCs/>
          <w:color w:val="000000" w:themeColor="text1"/>
          <w:sz w:val="24"/>
          <w:szCs w:val="24"/>
          <w14:textFill>
            <w14:solidFill>
              <w14:schemeClr w14:val="tx1"/>
            </w14:solidFill>
          </w14:textFill>
        </w:rPr>
      </w:pPr>
      <w:r>
        <w:rPr>
          <w:rFonts w:hint="default" w:ascii="Times New Roman" w:hAnsi="Times New Roman" w:eastAsia="宋体" w:cs="Times New Roman"/>
          <w:b/>
          <w:bCs/>
          <w:color w:val="000000" w:themeColor="text1"/>
          <w:sz w:val="24"/>
          <w:szCs w:val="24"/>
          <w14:textFill>
            <w14:solidFill>
              <w14:schemeClr w14:val="tx1"/>
            </w14:solidFill>
          </w14:textFill>
        </w:rPr>
        <w:t>附件1 委托书</w:t>
      </w:r>
    </w:p>
    <w:p w14:paraId="25F67CE2">
      <w:pPr>
        <w:keepNext w:val="0"/>
        <w:keepLines w:val="0"/>
        <w:pageBreakBefore w:val="0"/>
        <w:widowControl w:val="0"/>
        <w:kinsoku/>
        <w:wordWrap w:val="0"/>
        <w:overflowPunct/>
        <w:topLinePunct w:val="0"/>
        <w:autoSpaceDE/>
        <w:autoSpaceDN/>
        <w:bidi w:val="0"/>
        <w:adjustRightInd w:val="0"/>
        <w:snapToGrid w:val="0"/>
        <w:spacing w:after="0" w:line="360" w:lineRule="auto"/>
        <w:ind w:firstLine="0" w:firstLineChars="0"/>
        <w:jc w:val="center"/>
        <w:textAlignment w:val="auto"/>
        <w:outlineLvl w:val="9"/>
        <w:rPr>
          <w:rFonts w:hint="default" w:ascii="Times New Roman" w:hAnsi="Times New Roman" w:eastAsia="宋体" w:cs="Times New Roman"/>
          <w:b/>
          <w:bCs w:val="0"/>
          <w:color w:val="FF0000"/>
          <w:spacing w:val="0"/>
          <w:kern w:val="2"/>
          <w:position w:val="0"/>
          <w:sz w:val="44"/>
          <w:szCs w:val="44"/>
          <w:lang w:val="en-US" w:eastAsia="zh-CN" w:bidi="ar-SA"/>
        </w:rPr>
      </w:pPr>
      <w:r>
        <w:drawing>
          <wp:inline distT="0" distB="0" distL="114300" distR="114300">
            <wp:extent cx="5303520" cy="7981315"/>
            <wp:effectExtent l="0" t="0" r="11430" b="635"/>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pic:cNvPicPr>
                      <a:picLocks noChangeAspect="1"/>
                    </pic:cNvPicPr>
                  </pic:nvPicPr>
                  <pic:blipFill>
                    <a:blip r:embed="rId46"/>
                    <a:stretch>
                      <a:fillRect/>
                    </a:stretch>
                  </pic:blipFill>
                  <pic:spPr>
                    <a:xfrm>
                      <a:off x="0" y="0"/>
                      <a:ext cx="5303520" cy="7981315"/>
                    </a:xfrm>
                    <a:prstGeom prst="rect">
                      <a:avLst/>
                    </a:prstGeom>
                    <a:noFill/>
                    <a:ln>
                      <a:noFill/>
                    </a:ln>
                  </pic:spPr>
                </pic:pic>
              </a:graphicData>
            </a:graphic>
          </wp:inline>
        </w:drawing>
      </w:r>
    </w:p>
    <w:p w14:paraId="2DD5489B">
      <w:pPr>
        <w:keepNext w:val="0"/>
        <w:keepLines w:val="0"/>
        <w:pageBreakBefore w:val="0"/>
        <w:widowControl/>
        <w:kinsoku/>
        <w:wordWrap/>
        <w:overflowPunct/>
        <w:topLinePunct w:val="0"/>
        <w:autoSpaceDE/>
        <w:autoSpaceDN/>
        <w:bidi w:val="0"/>
        <w:adjustRightInd w:val="0"/>
        <w:snapToGrid w:val="0"/>
        <w:textAlignment w:val="auto"/>
        <w:outlineLvl w:val="1"/>
        <w:rPr>
          <w:rFonts w:hint="eastAsia" w:ascii="Times New Roman" w:hAnsi="Times New Roman" w:eastAsia="宋体" w:cs="Times New Roman"/>
          <w:b/>
          <w:bCs/>
          <w:color w:val="FF0000"/>
          <w:sz w:val="24"/>
          <w:szCs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371AD02">
      <w:pPr>
        <w:keepNext w:val="0"/>
        <w:keepLines w:val="0"/>
        <w:pageBreakBefore w:val="0"/>
        <w:widowControl/>
        <w:kinsoku/>
        <w:wordWrap/>
        <w:overflowPunct/>
        <w:topLinePunct w:val="0"/>
        <w:autoSpaceDE/>
        <w:autoSpaceDN/>
        <w:bidi w:val="0"/>
        <w:adjustRightInd w:val="0"/>
        <w:snapToGrid w:val="0"/>
        <w:textAlignment w:val="auto"/>
        <w:outlineLvl w:val="1"/>
        <w:rPr>
          <w:rFonts w:hint="eastAsia" w:ascii="Times New Roman" w:hAnsi="Times New Roman" w:eastAsia="宋体" w:cs="Times New Roman"/>
          <w:b/>
          <w:bCs/>
          <w:color w:val="000000" w:themeColor="text1"/>
          <w:sz w:val="24"/>
          <w:szCs w:val="24"/>
          <w14:textFill>
            <w14:solidFill>
              <w14:schemeClr w14:val="tx1"/>
            </w14:solidFill>
          </w14:textFill>
        </w:rPr>
      </w:pPr>
      <w:r>
        <w:rPr>
          <w:rFonts w:hint="eastAsia" w:ascii="Times New Roman" w:hAnsi="Times New Roman" w:eastAsia="宋体" w:cs="Times New Roman"/>
          <w:b/>
          <w:bCs/>
          <w:color w:val="000000" w:themeColor="text1"/>
          <w:sz w:val="24"/>
          <w:szCs w:val="24"/>
          <w14:textFill>
            <w14:solidFill>
              <w14:schemeClr w14:val="tx1"/>
            </w14:solidFill>
          </w14:textFill>
        </w:rPr>
        <w:t>附件2 环评结论</w:t>
      </w:r>
    </w:p>
    <w:p w14:paraId="09F2794C">
      <w:pPr>
        <w:keepNext w:val="0"/>
        <w:keepLines w:val="0"/>
        <w:pageBreakBefore w:val="0"/>
        <w:widowControl/>
        <w:kinsoku/>
        <w:wordWrap/>
        <w:overflowPunct/>
        <w:topLinePunct w:val="0"/>
        <w:autoSpaceDE/>
        <w:autoSpaceDN/>
        <w:bidi w:val="0"/>
        <w:adjustRightInd w:val="0"/>
        <w:snapToGrid w:val="0"/>
        <w:jc w:val="center"/>
        <w:textAlignment w:val="auto"/>
        <w:outlineLvl w:val="9"/>
        <w:rPr>
          <w:rFonts w:hint="eastAsia" w:ascii="Times New Roman" w:hAnsi="Times New Roman" w:eastAsia="宋体" w:cs="Times New Roman"/>
          <w:b/>
          <w:bCs/>
          <w:color w:val="FF0000"/>
          <w:sz w:val="24"/>
          <w:szCs w:val="24"/>
          <w:lang w:eastAsia="zh-CN"/>
        </w:rPr>
      </w:pPr>
      <w:r>
        <w:drawing>
          <wp:inline distT="0" distB="0" distL="114300" distR="114300">
            <wp:extent cx="5052060" cy="8001000"/>
            <wp:effectExtent l="0" t="0" r="15240" b="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pic:cNvPicPr>
                  </pic:nvPicPr>
                  <pic:blipFill>
                    <a:blip r:embed="rId47"/>
                    <a:stretch>
                      <a:fillRect/>
                    </a:stretch>
                  </pic:blipFill>
                  <pic:spPr>
                    <a:xfrm>
                      <a:off x="0" y="0"/>
                      <a:ext cx="5052060" cy="8001000"/>
                    </a:xfrm>
                    <a:prstGeom prst="rect">
                      <a:avLst/>
                    </a:prstGeom>
                    <a:noFill/>
                    <a:ln>
                      <a:noFill/>
                    </a:ln>
                  </pic:spPr>
                </pic:pic>
              </a:graphicData>
            </a:graphic>
          </wp:inline>
        </w:drawing>
      </w:r>
    </w:p>
    <w:p w14:paraId="2943529F">
      <w:pPr>
        <w:pStyle w:val="13"/>
        <w:keepNext w:val="0"/>
        <w:keepLines w:val="0"/>
        <w:pageBreakBefore w:val="0"/>
        <w:widowControl/>
        <w:kinsoku/>
        <w:wordWrap/>
        <w:overflowPunct/>
        <w:topLinePunct w:val="0"/>
        <w:autoSpaceDE/>
        <w:autoSpaceDN/>
        <w:bidi w:val="0"/>
        <w:adjustRightInd w:val="0"/>
        <w:snapToGrid w:val="0"/>
        <w:textAlignment w:val="auto"/>
        <w:outlineLvl w:val="9"/>
        <w:rPr>
          <w:rFonts w:hint="eastAsia" w:eastAsia="宋体"/>
          <w:color w:val="FF0000"/>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2A9270F">
      <w:pPr>
        <w:keepNext w:val="0"/>
        <w:keepLines w:val="0"/>
        <w:pageBreakBefore w:val="0"/>
        <w:widowControl/>
        <w:kinsoku/>
        <w:wordWrap/>
        <w:overflowPunct/>
        <w:topLinePunct w:val="0"/>
        <w:autoSpaceDE/>
        <w:autoSpaceDN/>
        <w:bidi w:val="0"/>
        <w:adjustRightInd w:val="0"/>
        <w:snapToGrid w:val="0"/>
        <w:jc w:val="both"/>
        <w:textAlignment w:val="auto"/>
        <w:outlineLvl w:val="1"/>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rPr>
        <w:t xml:space="preserve">附件3 </w:t>
      </w:r>
      <w:r>
        <w:rPr>
          <w:rFonts w:hint="eastAsia" w:ascii="Times New Roman" w:hAnsi="Times New Roman" w:eastAsia="宋体" w:cs="Times New Roman"/>
          <w:b/>
          <w:bCs/>
          <w:color w:val="auto"/>
          <w:sz w:val="24"/>
          <w:szCs w:val="24"/>
          <w:lang w:eastAsia="zh-CN"/>
        </w:rPr>
        <w:t>环评批复</w:t>
      </w:r>
    </w:p>
    <w:p w14:paraId="26711526">
      <w:pPr>
        <w:pStyle w:val="13"/>
        <w:ind w:left="0" w:leftChars="0" w:firstLine="0" w:firstLineChars="0"/>
        <w:jc w:val="center"/>
        <w:rPr>
          <w:b/>
          <w:bCs/>
          <w:color w:val="FF0000"/>
          <w:sz w:val="28"/>
          <w:szCs w:val="28"/>
        </w:rPr>
      </w:pPr>
      <w:r>
        <w:drawing>
          <wp:inline distT="0" distB="0" distL="114300" distR="114300">
            <wp:extent cx="5286375" cy="8187690"/>
            <wp:effectExtent l="0" t="0" r="9525" b="381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48"/>
                    <a:stretch>
                      <a:fillRect/>
                    </a:stretch>
                  </pic:blipFill>
                  <pic:spPr>
                    <a:xfrm>
                      <a:off x="0" y="0"/>
                      <a:ext cx="5286375" cy="8187690"/>
                    </a:xfrm>
                    <a:prstGeom prst="rect">
                      <a:avLst/>
                    </a:prstGeom>
                    <a:noFill/>
                    <a:ln>
                      <a:noFill/>
                    </a:ln>
                  </pic:spPr>
                </pic:pic>
              </a:graphicData>
            </a:graphic>
          </wp:inline>
        </w:drawing>
      </w:r>
    </w:p>
    <w:p w14:paraId="529F0E63">
      <w:pPr>
        <w:pStyle w:val="11"/>
        <w:jc w:val="center"/>
        <w:rPr>
          <w:b/>
          <w:bCs/>
          <w:color w:val="FF0000"/>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drawing>
          <wp:inline distT="0" distB="0" distL="114300" distR="114300">
            <wp:extent cx="5220335" cy="8484870"/>
            <wp:effectExtent l="0" t="0" r="18415" b="1143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49"/>
                    <a:stretch>
                      <a:fillRect/>
                    </a:stretch>
                  </pic:blipFill>
                  <pic:spPr>
                    <a:xfrm>
                      <a:off x="0" y="0"/>
                      <a:ext cx="5220335" cy="8484870"/>
                    </a:xfrm>
                    <a:prstGeom prst="rect">
                      <a:avLst/>
                    </a:prstGeom>
                    <a:noFill/>
                    <a:ln>
                      <a:noFill/>
                    </a:ln>
                  </pic:spPr>
                </pic:pic>
              </a:graphicData>
            </a:graphic>
          </wp:inline>
        </w:drawing>
      </w:r>
    </w:p>
    <w:p w14:paraId="264D1C6C">
      <w:pPr>
        <w:pStyle w:val="11"/>
        <w:jc w:val="center"/>
        <w:rPr>
          <w:rFonts w:hint="eastAsia" w:eastAsia="微软雅黑"/>
          <w:b/>
          <w:bCs/>
          <w:color w:val="FF0000"/>
          <w:sz w:val="28"/>
          <w:szCs w:val="28"/>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drawing>
          <wp:inline distT="0" distB="0" distL="114300" distR="114300">
            <wp:extent cx="5282565" cy="8259445"/>
            <wp:effectExtent l="0" t="0" r="13335" b="825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50"/>
                    <a:stretch>
                      <a:fillRect/>
                    </a:stretch>
                  </pic:blipFill>
                  <pic:spPr>
                    <a:xfrm>
                      <a:off x="0" y="0"/>
                      <a:ext cx="5282565" cy="8259445"/>
                    </a:xfrm>
                    <a:prstGeom prst="rect">
                      <a:avLst/>
                    </a:prstGeom>
                    <a:noFill/>
                    <a:ln>
                      <a:noFill/>
                    </a:ln>
                  </pic:spPr>
                </pic:pic>
              </a:graphicData>
            </a:graphic>
          </wp:inline>
        </w:drawing>
      </w:r>
    </w:p>
    <w:p w14:paraId="63D7183D">
      <w:pPr>
        <w:pStyle w:val="11"/>
        <w:jc w:val="center"/>
        <w:rPr>
          <w:rFonts w:hint="eastAsia" w:eastAsia="微软雅黑"/>
          <w:b/>
          <w:bCs/>
          <w:color w:val="FF0000"/>
          <w:sz w:val="28"/>
          <w:szCs w:val="28"/>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drawing>
          <wp:inline distT="0" distB="0" distL="114300" distR="114300">
            <wp:extent cx="5299710" cy="8468995"/>
            <wp:effectExtent l="0" t="0" r="15240" b="825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51">
                      <a:lum bright="-6000"/>
                    </a:blip>
                    <a:stretch>
                      <a:fillRect/>
                    </a:stretch>
                  </pic:blipFill>
                  <pic:spPr>
                    <a:xfrm>
                      <a:off x="0" y="0"/>
                      <a:ext cx="5299710" cy="8468995"/>
                    </a:xfrm>
                    <a:prstGeom prst="rect">
                      <a:avLst/>
                    </a:prstGeom>
                    <a:noFill/>
                    <a:ln>
                      <a:noFill/>
                    </a:ln>
                  </pic:spPr>
                </pic:pic>
              </a:graphicData>
            </a:graphic>
          </wp:inline>
        </w:drawing>
      </w:r>
    </w:p>
    <w:p w14:paraId="5EFD422F">
      <w:pPr>
        <w:keepNext w:val="0"/>
        <w:keepLines w:val="0"/>
        <w:pageBreakBefore w:val="0"/>
        <w:widowControl/>
        <w:kinsoku/>
        <w:wordWrap/>
        <w:overflowPunct/>
        <w:topLinePunct w:val="0"/>
        <w:autoSpaceDE/>
        <w:autoSpaceDN/>
        <w:bidi w:val="0"/>
        <w:adjustRightInd w:val="0"/>
        <w:snapToGrid w:val="0"/>
        <w:textAlignment w:val="auto"/>
        <w:outlineLvl w:val="1"/>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附件4 危废处置协议</w:t>
      </w:r>
    </w:p>
    <w:p w14:paraId="56DA4096">
      <w:pPr>
        <w:pStyle w:val="2"/>
        <w:rPr>
          <w:rFonts w:hint="eastAsia"/>
          <w:lang w:val="en-US" w:eastAsia="zh-CN"/>
        </w:rPr>
      </w:pPr>
      <w:r>
        <w:drawing>
          <wp:inline distT="0" distB="0" distL="114300" distR="114300">
            <wp:extent cx="5530215" cy="7767320"/>
            <wp:effectExtent l="0" t="0" r="13335" b="508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1"/>
                    </pic:cNvPicPr>
                  </pic:nvPicPr>
                  <pic:blipFill>
                    <a:blip r:embed="rId52"/>
                    <a:stretch>
                      <a:fillRect/>
                    </a:stretch>
                  </pic:blipFill>
                  <pic:spPr>
                    <a:xfrm>
                      <a:off x="0" y="0"/>
                      <a:ext cx="5530215" cy="7767320"/>
                    </a:xfrm>
                    <a:prstGeom prst="rect">
                      <a:avLst/>
                    </a:prstGeom>
                    <a:noFill/>
                    <a:ln>
                      <a:noFill/>
                    </a:ln>
                  </pic:spPr>
                </pic:pic>
              </a:graphicData>
            </a:graphic>
          </wp:inline>
        </w:drawing>
      </w:r>
    </w:p>
    <w:p w14:paraId="75BE9016">
      <w:pPr>
        <w:pStyle w:val="2"/>
        <w:jc w:val="center"/>
        <w:rPr>
          <w:rFonts w:hint="eastAsia"/>
          <w:lang w:val="en-US" w:eastAsia="zh-CN"/>
        </w:rPr>
      </w:pPr>
      <w:r>
        <w:drawing>
          <wp:inline distT="0" distB="0" distL="114300" distR="114300">
            <wp:extent cx="5674360" cy="8248015"/>
            <wp:effectExtent l="0" t="0" r="2540" b="635"/>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53"/>
                    <a:stretch>
                      <a:fillRect/>
                    </a:stretch>
                  </pic:blipFill>
                  <pic:spPr>
                    <a:xfrm>
                      <a:off x="0" y="0"/>
                      <a:ext cx="5674360" cy="8248015"/>
                    </a:xfrm>
                    <a:prstGeom prst="rect">
                      <a:avLst/>
                    </a:prstGeom>
                    <a:noFill/>
                    <a:ln>
                      <a:noFill/>
                    </a:ln>
                  </pic:spPr>
                </pic:pic>
              </a:graphicData>
            </a:graphic>
          </wp:inline>
        </w:drawing>
      </w:r>
      <w:r>
        <w:drawing>
          <wp:inline distT="0" distB="0" distL="114300" distR="114300">
            <wp:extent cx="5519420" cy="8277225"/>
            <wp:effectExtent l="0" t="0" r="5080" b="9525"/>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54"/>
                    <a:stretch>
                      <a:fillRect/>
                    </a:stretch>
                  </pic:blipFill>
                  <pic:spPr>
                    <a:xfrm>
                      <a:off x="0" y="0"/>
                      <a:ext cx="5519420" cy="8277225"/>
                    </a:xfrm>
                    <a:prstGeom prst="rect">
                      <a:avLst/>
                    </a:prstGeom>
                    <a:noFill/>
                    <a:ln>
                      <a:noFill/>
                    </a:ln>
                  </pic:spPr>
                </pic:pic>
              </a:graphicData>
            </a:graphic>
          </wp:inline>
        </w:drawing>
      </w:r>
      <w:r>
        <w:drawing>
          <wp:inline distT="0" distB="0" distL="114300" distR="114300">
            <wp:extent cx="5600700" cy="7903845"/>
            <wp:effectExtent l="0" t="0" r="0" b="190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55"/>
                    <a:stretch>
                      <a:fillRect/>
                    </a:stretch>
                  </pic:blipFill>
                  <pic:spPr>
                    <a:xfrm>
                      <a:off x="0" y="0"/>
                      <a:ext cx="5600700" cy="7903845"/>
                    </a:xfrm>
                    <a:prstGeom prst="rect">
                      <a:avLst/>
                    </a:prstGeom>
                    <a:noFill/>
                    <a:ln>
                      <a:noFill/>
                    </a:ln>
                  </pic:spPr>
                </pic:pic>
              </a:graphicData>
            </a:graphic>
          </wp:inline>
        </w:drawing>
      </w:r>
      <w:r>
        <w:drawing>
          <wp:inline distT="0" distB="0" distL="114300" distR="114300">
            <wp:extent cx="5400040" cy="8021955"/>
            <wp:effectExtent l="0" t="0" r="10160" b="1714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56"/>
                    <a:stretch>
                      <a:fillRect/>
                    </a:stretch>
                  </pic:blipFill>
                  <pic:spPr>
                    <a:xfrm>
                      <a:off x="0" y="0"/>
                      <a:ext cx="5400040" cy="8021955"/>
                    </a:xfrm>
                    <a:prstGeom prst="rect">
                      <a:avLst/>
                    </a:prstGeom>
                    <a:noFill/>
                    <a:ln>
                      <a:noFill/>
                    </a:ln>
                  </pic:spPr>
                </pic:pic>
              </a:graphicData>
            </a:graphic>
          </wp:inline>
        </w:drawing>
      </w:r>
    </w:p>
    <w:p w14:paraId="52C8004B">
      <w:pPr>
        <w:pStyle w:val="2"/>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pPr>
    </w:p>
    <w:p w14:paraId="1AB896D8">
      <w:pPr>
        <w:pStyle w:val="3"/>
        <w:rPr>
          <w:rFonts w:hint="eastAsia"/>
          <w:lang w:val="en-US" w:eastAsia="zh-CN"/>
        </w:rPr>
        <w:sectPr>
          <w:pgSz w:w="11905" w:h="16838"/>
          <w:pgMar w:top="1701" w:right="1531" w:bottom="1701" w:left="1531" w:header="283" w:footer="850" w:gutter="0"/>
          <w:pgBorders>
            <w:top w:val="none" w:sz="0" w:space="0"/>
            <w:left w:val="none" w:sz="0" w:space="0"/>
            <w:bottom w:val="none" w:sz="0" w:space="0"/>
            <w:right w:val="none" w:sz="0" w:space="0"/>
          </w:pgBorders>
          <w:pgNumType w:fmt="decimal"/>
          <w:cols w:space="720" w:num="1"/>
          <w:rtlGutter w:val="0"/>
          <w:docGrid w:linePitch="334" w:charSpace="0"/>
        </w:sectPr>
      </w:pPr>
    </w:p>
    <w:p w14:paraId="70B33738">
      <w:pPr>
        <w:pStyle w:val="2"/>
        <w:jc w:val="left"/>
        <w:outlineLvl w:val="1"/>
        <w:rPr>
          <w:rFonts w:hint="eastAsia"/>
          <w:lang w:val="en-US" w:eastAsia="zh-CN"/>
        </w:rPr>
        <w:sectPr>
          <w:pgSz w:w="11905" w:h="16838"/>
          <w:pgMar w:top="1701" w:right="1531" w:bottom="1701" w:left="1531" w:header="283" w:footer="850" w:gutter="0"/>
          <w:pgBorders>
            <w:top w:val="none" w:sz="0" w:space="0"/>
            <w:left w:val="none" w:sz="0" w:space="0"/>
            <w:bottom w:val="none" w:sz="0" w:space="0"/>
            <w:right w:val="none" w:sz="0" w:space="0"/>
          </w:pgBorders>
          <w:pgNumType w:fmt="decimal"/>
          <w:cols w:space="720" w:num="1"/>
          <w:rtlGutter w:val="0"/>
          <w:docGrid w:linePitch="334" w:charSpace="0"/>
        </w:sectPr>
      </w:pPr>
      <w:r>
        <w:rPr>
          <w:rFonts w:hint="eastAsia" w:ascii="Times New Roman" w:hAnsi="Times New Roman" w:eastAsia="宋体" w:cs="Times New Roman"/>
          <w:b/>
          <w:bCs/>
          <w:color w:val="000000" w:themeColor="text1"/>
          <w:kern w:val="0"/>
          <w:sz w:val="24"/>
          <w:szCs w:val="24"/>
          <w:lang w:val="en-US" w:eastAsia="zh-CN" w:bidi="ar-SA"/>
          <w14:textFill>
            <w14:solidFill>
              <w14:schemeClr w14:val="tx1"/>
            </w14:solidFill>
          </w14:textFill>
        </w:rPr>
        <w:t>附件5 污水处理委托处理合同</w:t>
      </w:r>
      <w:r>
        <w:drawing>
          <wp:inline distT="0" distB="0" distL="114300" distR="114300">
            <wp:extent cx="5487670" cy="7854315"/>
            <wp:effectExtent l="0" t="0" r="17780" b="13335"/>
            <wp:docPr id="10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5"/>
                    <pic:cNvPicPr>
                      <a:picLocks noChangeAspect="1"/>
                    </pic:cNvPicPr>
                  </pic:nvPicPr>
                  <pic:blipFill>
                    <a:blip r:embed="rId57"/>
                    <a:stretch>
                      <a:fillRect/>
                    </a:stretch>
                  </pic:blipFill>
                  <pic:spPr>
                    <a:xfrm>
                      <a:off x="0" y="0"/>
                      <a:ext cx="5487670" cy="7854315"/>
                    </a:xfrm>
                    <a:prstGeom prst="rect">
                      <a:avLst/>
                    </a:prstGeom>
                    <a:noFill/>
                    <a:ln>
                      <a:noFill/>
                    </a:ln>
                  </pic:spPr>
                </pic:pic>
              </a:graphicData>
            </a:graphic>
          </wp:inline>
        </w:drawing>
      </w:r>
      <w:r>
        <w:drawing>
          <wp:inline distT="0" distB="0" distL="114300" distR="114300">
            <wp:extent cx="5476875" cy="7607300"/>
            <wp:effectExtent l="0" t="0" r="9525" b="12700"/>
            <wp:docPr id="1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6"/>
                    <pic:cNvPicPr>
                      <a:picLocks noChangeAspect="1"/>
                    </pic:cNvPicPr>
                  </pic:nvPicPr>
                  <pic:blipFill>
                    <a:blip r:embed="rId58"/>
                    <a:stretch>
                      <a:fillRect/>
                    </a:stretch>
                  </pic:blipFill>
                  <pic:spPr>
                    <a:xfrm>
                      <a:off x="0" y="0"/>
                      <a:ext cx="5476875" cy="7607300"/>
                    </a:xfrm>
                    <a:prstGeom prst="rect">
                      <a:avLst/>
                    </a:prstGeom>
                    <a:noFill/>
                    <a:ln>
                      <a:noFill/>
                    </a:ln>
                  </pic:spPr>
                </pic:pic>
              </a:graphicData>
            </a:graphic>
          </wp:inline>
        </w:drawing>
      </w:r>
      <w:r>
        <w:drawing>
          <wp:inline distT="0" distB="0" distL="114300" distR="114300">
            <wp:extent cx="5337175" cy="7712075"/>
            <wp:effectExtent l="0" t="0" r="15875" b="3175"/>
            <wp:docPr id="1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7"/>
                    <pic:cNvPicPr>
                      <a:picLocks noChangeAspect="1"/>
                    </pic:cNvPicPr>
                  </pic:nvPicPr>
                  <pic:blipFill>
                    <a:blip r:embed="rId59"/>
                    <a:stretch>
                      <a:fillRect/>
                    </a:stretch>
                  </pic:blipFill>
                  <pic:spPr>
                    <a:xfrm>
                      <a:off x="0" y="0"/>
                      <a:ext cx="5337175" cy="7712075"/>
                    </a:xfrm>
                    <a:prstGeom prst="rect">
                      <a:avLst/>
                    </a:prstGeom>
                    <a:noFill/>
                    <a:ln>
                      <a:noFill/>
                    </a:ln>
                  </pic:spPr>
                </pic:pic>
              </a:graphicData>
            </a:graphic>
          </wp:inline>
        </w:drawing>
      </w:r>
      <w:r>
        <w:drawing>
          <wp:inline distT="0" distB="0" distL="114300" distR="114300">
            <wp:extent cx="5501005" cy="7663180"/>
            <wp:effectExtent l="0" t="0" r="4445" b="13970"/>
            <wp:docPr id="1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8"/>
                    <pic:cNvPicPr>
                      <a:picLocks noChangeAspect="1"/>
                    </pic:cNvPicPr>
                  </pic:nvPicPr>
                  <pic:blipFill>
                    <a:blip r:embed="rId60"/>
                    <a:stretch>
                      <a:fillRect/>
                    </a:stretch>
                  </pic:blipFill>
                  <pic:spPr>
                    <a:xfrm>
                      <a:off x="0" y="0"/>
                      <a:ext cx="5501005" cy="7663180"/>
                    </a:xfrm>
                    <a:prstGeom prst="rect">
                      <a:avLst/>
                    </a:prstGeom>
                    <a:noFill/>
                    <a:ln>
                      <a:noFill/>
                    </a:ln>
                  </pic:spPr>
                </pic:pic>
              </a:graphicData>
            </a:graphic>
          </wp:inline>
        </w:drawing>
      </w:r>
      <w:r>
        <w:drawing>
          <wp:inline distT="0" distB="0" distL="114300" distR="114300">
            <wp:extent cx="5624195" cy="7893685"/>
            <wp:effectExtent l="0" t="0" r="14605" b="12065"/>
            <wp:docPr id="1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9"/>
                    <pic:cNvPicPr>
                      <a:picLocks noChangeAspect="1"/>
                    </pic:cNvPicPr>
                  </pic:nvPicPr>
                  <pic:blipFill>
                    <a:blip r:embed="rId61"/>
                    <a:stretch>
                      <a:fillRect/>
                    </a:stretch>
                  </pic:blipFill>
                  <pic:spPr>
                    <a:xfrm>
                      <a:off x="0" y="0"/>
                      <a:ext cx="5624195" cy="7893685"/>
                    </a:xfrm>
                    <a:prstGeom prst="rect">
                      <a:avLst/>
                    </a:prstGeom>
                    <a:noFill/>
                    <a:ln>
                      <a:noFill/>
                    </a:ln>
                  </pic:spPr>
                </pic:pic>
              </a:graphicData>
            </a:graphic>
          </wp:inline>
        </w:drawing>
      </w:r>
      <w:r>
        <w:drawing>
          <wp:inline distT="0" distB="0" distL="114300" distR="114300">
            <wp:extent cx="5566410" cy="7797800"/>
            <wp:effectExtent l="0" t="0" r="15240" b="12700"/>
            <wp:docPr id="1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0"/>
                    <pic:cNvPicPr>
                      <a:picLocks noChangeAspect="1"/>
                    </pic:cNvPicPr>
                  </pic:nvPicPr>
                  <pic:blipFill>
                    <a:blip r:embed="rId62"/>
                    <a:stretch>
                      <a:fillRect/>
                    </a:stretch>
                  </pic:blipFill>
                  <pic:spPr>
                    <a:xfrm>
                      <a:off x="0" y="0"/>
                      <a:ext cx="5566410" cy="7797800"/>
                    </a:xfrm>
                    <a:prstGeom prst="rect">
                      <a:avLst/>
                    </a:prstGeom>
                    <a:noFill/>
                    <a:ln>
                      <a:noFill/>
                    </a:ln>
                  </pic:spPr>
                </pic:pic>
              </a:graphicData>
            </a:graphic>
          </wp:inline>
        </w:drawing>
      </w:r>
      <w:r>
        <w:drawing>
          <wp:inline distT="0" distB="0" distL="114300" distR="114300">
            <wp:extent cx="5381625" cy="7448550"/>
            <wp:effectExtent l="0" t="0" r="9525" b="0"/>
            <wp:docPr id="1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
                    <pic:cNvPicPr>
                      <a:picLocks noChangeAspect="1"/>
                    </pic:cNvPicPr>
                  </pic:nvPicPr>
                  <pic:blipFill>
                    <a:blip r:embed="rId63"/>
                    <a:stretch>
                      <a:fillRect/>
                    </a:stretch>
                  </pic:blipFill>
                  <pic:spPr>
                    <a:xfrm>
                      <a:off x="0" y="0"/>
                      <a:ext cx="5381625" cy="7448550"/>
                    </a:xfrm>
                    <a:prstGeom prst="rect">
                      <a:avLst/>
                    </a:prstGeom>
                    <a:noFill/>
                    <a:ln>
                      <a:noFill/>
                    </a:ln>
                  </pic:spPr>
                </pic:pic>
              </a:graphicData>
            </a:graphic>
          </wp:inline>
        </w:drawing>
      </w:r>
    </w:p>
    <w:p w14:paraId="14413127">
      <w:pPr>
        <w:pStyle w:val="10"/>
        <w:keepNext w:val="0"/>
        <w:keepLines w:val="0"/>
        <w:pageBreakBefore w:val="0"/>
        <w:widowControl/>
        <w:kinsoku/>
        <w:wordWrap/>
        <w:overflowPunct/>
        <w:topLinePunct w:val="0"/>
        <w:autoSpaceDE/>
        <w:autoSpaceDN/>
        <w:bidi w:val="0"/>
        <w:adjustRightInd w:val="0"/>
        <w:snapToGrid w:val="0"/>
        <w:textAlignment w:val="auto"/>
        <w:outlineLvl w:val="1"/>
        <w:rPr>
          <w:rFonts w:hint="eastAsia" w:ascii="Times New Roman" w:hAnsi="Times New Roman" w:eastAsia="宋体" w:cs="Times New Roman"/>
          <w:b/>
          <w:bCs/>
          <w:color w:val="000000" w:themeColor="text1"/>
          <w:sz w:val="24"/>
          <w:szCs w:val="24"/>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bidi="ar-SA"/>
          <w14:textFill>
            <w14:solidFill>
              <w14:schemeClr w14:val="tx1"/>
            </w14:solidFill>
          </w14:textFill>
        </w:rPr>
        <w:t>附件6 验收工况说明</w:t>
      </w:r>
    </w:p>
    <w:p w14:paraId="3FCA012C">
      <w:pPr>
        <w:keepNext w:val="0"/>
        <w:keepLines w:val="0"/>
        <w:pageBreakBefore w:val="0"/>
        <w:widowControl/>
        <w:kinsoku/>
        <w:wordWrap/>
        <w:overflowPunct/>
        <w:topLinePunct w:val="0"/>
        <w:autoSpaceDE/>
        <w:autoSpaceDN/>
        <w:bidi w:val="0"/>
        <w:adjustRightInd w:val="0"/>
        <w:snapToGrid w:val="0"/>
        <w:textAlignment w:val="auto"/>
        <w:outlineLvl w:val="1"/>
        <w:sectPr>
          <w:pgSz w:w="11905" w:h="16838"/>
          <w:pgMar w:top="1701" w:right="1531" w:bottom="1701" w:left="1531" w:header="283" w:footer="850" w:gutter="0"/>
          <w:pgBorders>
            <w:top w:val="none" w:sz="0" w:space="0"/>
            <w:left w:val="none" w:sz="0" w:space="0"/>
            <w:bottom w:val="none" w:sz="0" w:space="0"/>
            <w:right w:val="none" w:sz="0" w:space="0"/>
          </w:pgBorders>
          <w:pgNumType w:fmt="decimal"/>
          <w:cols w:space="720" w:num="1"/>
          <w:rtlGutter w:val="0"/>
          <w:docGrid w:linePitch="334" w:charSpace="0"/>
        </w:sectPr>
      </w:pPr>
      <w:r>
        <w:drawing>
          <wp:inline distT="0" distB="0" distL="114300" distR="114300">
            <wp:extent cx="5247005" cy="7637145"/>
            <wp:effectExtent l="0" t="0" r="10795" b="1905"/>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64"/>
                    <a:stretch>
                      <a:fillRect/>
                    </a:stretch>
                  </pic:blipFill>
                  <pic:spPr>
                    <a:xfrm>
                      <a:off x="0" y="0"/>
                      <a:ext cx="5247005" cy="7637145"/>
                    </a:xfrm>
                    <a:prstGeom prst="rect">
                      <a:avLst/>
                    </a:prstGeom>
                    <a:noFill/>
                    <a:ln>
                      <a:noFill/>
                    </a:ln>
                  </pic:spPr>
                </pic:pic>
              </a:graphicData>
            </a:graphic>
          </wp:inline>
        </w:drawing>
      </w:r>
    </w:p>
    <w:p w14:paraId="6C0678B9">
      <w:pPr>
        <w:keepNext w:val="0"/>
        <w:keepLines w:val="0"/>
        <w:pageBreakBefore w:val="0"/>
        <w:widowControl/>
        <w:kinsoku/>
        <w:wordWrap/>
        <w:overflowPunct/>
        <w:topLinePunct w:val="0"/>
        <w:autoSpaceDE/>
        <w:autoSpaceDN/>
        <w:bidi w:val="0"/>
        <w:adjustRightInd w:val="0"/>
        <w:snapToGrid w:val="0"/>
        <w:textAlignment w:val="auto"/>
        <w:outlineLvl w:val="1"/>
        <w:rPr>
          <w:rFonts w:hint="default" w:ascii="Times New Roman" w:hAnsi="Times New Roman" w:eastAsia="宋体" w:cs="Times New Roman"/>
          <w:b/>
          <w:bCs/>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附件7 固定污染源登记回执</w:t>
      </w:r>
    </w:p>
    <w:p w14:paraId="05951E07">
      <w:pPr>
        <w:bidi w:val="0"/>
        <w:rPr>
          <w:rFonts w:hint="eastAsia"/>
          <w:lang w:val="en-US" w:eastAsia="zh-CN"/>
        </w:rPr>
      </w:pPr>
      <w:r>
        <w:drawing>
          <wp:inline distT="0" distB="0" distL="114300" distR="114300">
            <wp:extent cx="5115560" cy="8032750"/>
            <wp:effectExtent l="0" t="0" r="8890" b="6350"/>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65"/>
                    <a:stretch>
                      <a:fillRect/>
                    </a:stretch>
                  </pic:blipFill>
                  <pic:spPr>
                    <a:xfrm>
                      <a:off x="0" y="0"/>
                      <a:ext cx="5115560" cy="8032750"/>
                    </a:xfrm>
                    <a:prstGeom prst="rect">
                      <a:avLst/>
                    </a:prstGeom>
                    <a:noFill/>
                    <a:ln>
                      <a:noFill/>
                    </a:ln>
                  </pic:spPr>
                </pic:pic>
              </a:graphicData>
            </a:graphic>
          </wp:inline>
        </w:drawing>
      </w:r>
    </w:p>
    <w:p w14:paraId="2B76553A">
      <w:pPr>
        <w:bidi w:val="0"/>
        <w:ind w:left="0" w:leftChars="0" w:firstLine="0" w:firstLineChars="0"/>
        <w:jc w:val="both"/>
        <w:rPr>
          <w:rFonts w:hint="eastAsia" w:eastAsia="宋体"/>
          <w:color w:val="FF0000"/>
          <w:lang w:eastAsia="zh-CN"/>
        </w:rPr>
        <w:sectPr>
          <w:pgSz w:w="11905" w:h="16838"/>
          <w:pgMar w:top="1701" w:right="1531" w:bottom="1701" w:left="1531" w:header="283" w:footer="850" w:gutter="0"/>
          <w:pgBorders>
            <w:top w:val="none" w:sz="0" w:space="0"/>
            <w:left w:val="none" w:sz="0" w:space="0"/>
            <w:bottom w:val="none" w:sz="0" w:space="0"/>
            <w:right w:val="none" w:sz="0" w:space="0"/>
          </w:pgBorders>
          <w:pgNumType w:fmt="decimal"/>
          <w:cols w:space="720" w:num="1"/>
          <w:rtlGutter w:val="0"/>
          <w:docGrid w:linePitch="334" w:charSpace="0"/>
        </w:sectPr>
      </w:pPr>
    </w:p>
    <w:p w14:paraId="5369652A">
      <w:pPr>
        <w:keepNext w:val="0"/>
        <w:keepLines w:val="0"/>
        <w:pageBreakBefore w:val="0"/>
        <w:widowControl/>
        <w:kinsoku/>
        <w:wordWrap/>
        <w:overflowPunct/>
        <w:topLinePunct w:val="0"/>
        <w:autoSpaceDE/>
        <w:autoSpaceDN/>
        <w:bidi w:val="0"/>
        <w:adjustRightInd w:val="0"/>
        <w:snapToGrid w:val="0"/>
        <w:textAlignment w:val="auto"/>
        <w:outlineLvl w:val="1"/>
        <w:rPr>
          <w:rFonts w:hint="eastAsia" w:ascii="Times New Roman" w:hAnsi="Times New Roman" w:eastAsia="宋体" w:cs="Times New Roman"/>
          <w:b/>
          <w:bCs/>
          <w:color w:val="FF0000"/>
          <w:sz w:val="24"/>
          <w:szCs w:val="24"/>
          <w:lang w:val="en-US" w:eastAsia="zh-CN"/>
        </w:rPr>
      </w:pPr>
      <w:r>
        <w:rPr>
          <w:rFonts w:hint="eastAsia" w:ascii="Times New Roman" w:hAnsi="Times New Roman" w:eastAsia="宋体" w:cs="Times New Roman"/>
          <w:b/>
          <w:bCs/>
          <w:color w:val="000000" w:themeColor="text1"/>
          <w:sz w:val="24"/>
          <w:szCs w:val="24"/>
          <w:lang w:val="en-US" w:eastAsia="zh-CN"/>
          <w14:textFill>
            <w14:solidFill>
              <w14:schemeClr w14:val="tx1"/>
            </w14:solidFill>
          </w14:textFill>
        </w:rPr>
        <w:t>附件8 厂房出租协议</w:t>
      </w:r>
    </w:p>
    <w:p w14:paraId="014400DD">
      <w:pPr>
        <w:pStyle w:val="2"/>
        <w:jc w:val="center"/>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116830" cy="7812405"/>
            <wp:effectExtent l="0" t="0" r="7620" b="1714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66"/>
                    <a:stretch>
                      <a:fillRect/>
                    </a:stretch>
                  </pic:blipFill>
                  <pic:spPr>
                    <a:xfrm>
                      <a:off x="0" y="0"/>
                      <a:ext cx="5116830" cy="7812405"/>
                    </a:xfrm>
                    <a:prstGeom prst="rect">
                      <a:avLst/>
                    </a:prstGeom>
                    <a:noFill/>
                    <a:ln>
                      <a:noFill/>
                    </a:ln>
                  </pic:spPr>
                </pic:pic>
              </a:graphicData>
            </a:graphic>
          </wp:inline>
        </w:drawing>
      </w:r>
    </w:p>
    <w:p w14:paraId="0A0239A1">
      <w:pPr>
        <w:pStyle w:val="13"/>
        <w:ind w:left="0" w:leftChars="0" w:firstLine="0" w:firstLineChars="0"/>
        <w:jc w:val="center"/>
        <w:rPr>
          <w:rFonts w:hint="default"/>
          <w:color w:val="FF0000"/>
          <w:lang w:val="en-US" w:eastAsia="zh-CN"/>
        </w:rPr>
      </w:pPr>
      <w:r>
        <w:drawing>
          <wp:inline distT="0" distB="0" distL="114300" distR="114300">
            <wp:extent cx="5113020" cy="8540750"/>
            <wp:effectExtent l="0" t="0" r="11430" b="12700"/>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67"/>
                    <a:stretch>
                      <a:fillRect/>
                    </a:stretch>
                  </pic:blipFill>
                  <pic:spPr>
                    <a:xfrm>
                      <a:off x="0" y="0"/>
                      <a:ext cx="5113020" cy="8540750"/>
                    </a:xfrm>
                    <a:prstGeom prst="rect">
                      <a:avLst/>
                    </a:prstGeom>
                    <a:noFill/>
                    <a:ln>
                      <a:noFill/>
                    </a:ln>
                  </pic:spPr>
                </pic:pic>
              </a:graphicData>
            </a:graphic>
          </wp:inline>
        </w:drawing>
      </w:r>
      <w:r>
        <w:drawing>
          <wp:inline distT="0" distB="0" distL="114300" distR="114300">
            <wp:extent cx="5088890" cy="8419465"/>
            <wp:effectExtent l="0" t="0" r="16510" b="635"/>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68"/>
                    <a:stretch>
                      <a:fillRect/>
                    </a:stretch>
                  </pic:blipFill>
                  <pic:spPr>
                    <a:xfrm>
                      <a:off x="0" y="0"/>
                      <a:ext cx="5088890" cy="8419465"/>
                    </a:xfrm>
                    <a:prstGeom prst="rect">
                      <a:avLst/>
                    </a:prstGeom>
                    <a:noFill/>
                    <a:ln>
                      <a:noFill/>
                    </a:ln>
                  </pic:spPr>
                </pic:pic>
              </a:graphicData>
            </a:graphic>
          </wp:inline>
        </w:drawing>
      </w:r>
      <w:r>
        <w:drawing>
          <wp:inline distT="0" distB="0" distL="114300" distR="114300">
            <wp:extent cx="5128895" cy="8674100"/>
            <wp:effectExtent l="0" t="0" r="14605" b="12700"/>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69"/>
                    <a:stretch>
                      <a:fillRect/>
                    </a:stretch>
                  </pic:blipFill>
                  <pic:spPr>
                    <a:xfrm>
                      <a:off x="0" y="0"/>
                      <a:ext cx="5128895" cy="8674100"/>
                    </a:xfrm>
                    <a:prstGeom prst="rect">
                      <a:avLst/>
                    </a:prstGeom>
                    <a:noFill/>
                    <a:ln>
                      <a:noFill/>
                    </a:ln>
                  </pic:spPr>
                </pic:pic>
              </a:graphicData>
            </a:graphic>
          </wp:inline>
        </w:drawing>
      </w:r>
      <w:r>
        <w:drawing>
          <wp:inline distT="0" distB="0" distL="114300" distR="114300">
            <wp:extent cx="5014595" cy="8503285"/>
            <wp:effectExtent l="0" t="0" r="14605" b="12065"/>
            <wp:docPr id="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pic:cNvPicPr>
                      <a:picLocks noChangeAspect="1"/>
                    </pic:cNvPicPr>
                  </pic:nvPicPr>
                  <pic:blipFill>
                    <a:blip r:embed="rId70"/>
                    <a:stretch>
                      <a:fillRect/>
                    </a:stretch>
                  </pic:blipFill>
                  <pic:spPr>
                    <a:xfrm>
                      <a:off x="0" y="0"/>
                      <a:ext cx="5014595" cy="8503285"/>
                    </a:xfrm>
                    <a:prstGeom prst="rect">
                      <a:avLst/>
                    </a:prstGeom>
                    <a:noFill/>
                    <a:ln>
                      <a:noFill/>
                    </a:ln>
                  </pic:spPr>
                </pic:pic>
              </a:graphicData>
            </a:graphic>
          </wp:inline>
        </w:drawing>
      </w:r>
      <w:r>
        <w:drawing>
          <wp:inline distT="0" distB="0" distL="114300" distR="114300">
            <wp:extent cx="5052060" cy="8593455"/>
            <wp:effectExtent l="0" t="0" r="15240" b="17145"/>
            <wp:docPr id="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
                    <pic:cNvPicPr>
                      <a:picLocks noChangeAspect="1"/>
                    </pic:cNvPicPr>
                  </pic:nvPicPr>
                  <pic:blipFill>
                    <a:blip r:embed="rId71"/>
                    <a:stretch>
                      <a:fillRect/>
                    </a:stretch>
                  </pic:blipFill>
                  <pic:spPr>
                    <a:xfrm>
                      <a:off x="0" y="0"/>
                      <a:ext cx="5052060" cy="8593455"/>
                    </a:xfrm>
                    <a:prstGeom prst="rect">
                      <a:avLst/>
                    </a:prstGeom>
                    <a:noFill/>
                    <a:ln>
                      <a:noFill/>
                    </a:ln>
                  </pic:spPr>
                </pic:pic>
              </a:graphicData>
            </a:graphic>
          </wp:inline>
        </w:drawing>
      </w:r>
      <w:r>
        <w:drawing>
          <wp:inline distT="0" distB="0" distL="114300" distR="114300">
            <wp:extent cx="4964430" cy="8632190"/>
            <wp:effectExtent l="0" t="0" r="7620" b="16510"/>
            <wp:docPr id="3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0"/>
                    <pic:cNvPicPr>
                      <a:picLocks noChangeAspect="1"/>
                    </pic:cNvPicPr>
                  </pic:nvPicPr>
                  <pic:blipFill>
                    <a:blip r:embed="rId72"/>
                    <a:stretch>
                      <a:fillRect/>
                    </a:stretch>
                  </pic:blipFill>
                  <pic:spPr>
                    <a:xfrm>
                      <a:off x="0" y="0"/>
                      <a:ext cx="4964430" cy="8632190"/>
                    </a:xfrm>
                    <a:prstGeom prst="rect">
                      <a:avLst/>
                    </a:prstGeom>
                    <a:noFill/>
                    <a:ln>
                      <a:noFill/>
                    </a:ln>
                  </pic:spPr>
                </pic:pic>
              </a:graphicData>
            </a:graphic>
          </wp:inline>
        </w:drawing>
      </w:r>
      <w:r>
        <w:drawing>
          <wp:inline distT="0" distB="0" distL="114300" distR="114300">
            <wp:extent cx="4960620" cy="8561705"/>
            <wp:effectExtent l="0" t="0" r="11430" b="10795"/>
            <wp:docPr id="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
                    <pic:cNvPicPr>
                      <a:picLocks noChangeAspect="1"/>
                    </pic:cNvPicPr>
                  </pic:nvPicPr>
                  <pic:blipFill>
                    <a:blip r:embed="rId73"/>
                    <a:stretch>
                      <a:fillRect/>
                    </a:stretch>
                  </pic:blipFill>
                  <pic:spPr>
                    <a:xfrm>
                      <a:off x="0" y="0"/>
                      <a:ext cx="4960620" cy="8561705"/>
                    </a:xfrm>
                    <a:prstGeom prst="rect">
                      <a:avLst/>
                    </a:prstGeom>
                    <a:noFill/>
                    <a:ln>
                      <a:noFill/>
                    </a:ln>
                  </pic:spPr>
                </pic:pic>
              </a:graphicData>
            </a:graphic>
          </wp:inline>
        </w:drawing>
      </w:r>
      <w:r>
        <w:drawing>
          <wp:inline distT="0" distB="0" distL="114300" distR="114300">
            <wp:extent cx="4977765" cy="8454390"/>
            <wp:effectExtent l="0" t="0" r="13335" b="3810"/>
            <wp:docPr id="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2"/>
                    <pic:cNvPicPr>
                      <a:picLocks noChangeAspect="1"/>
                    </pic:cNvPicPr>
                  </pic:nvPicPr>
                  <pic:blipFill>
                    <a:blip r:embed="rId74"/>
                    <a:stretch>
                      <a:fillRect/>
                    </a:stretch>
                  </pic:blipFill>
                  <pic:spPr>
                    <a:xfrm>
                      <a:off x="0" y="0"/>
                      <a:ext cx="4977765" cy="8454390"/>
                    </a:xfrm>
                    <a:prstGeom prst="rect">
                      <a:avLst/>
                    </a:prstGeom>
                    <a:noFill/>
                    <a:ln>
                      <a:noFill/>
                    </a:ln>
                  </pic:spPr>
                </pic:pic>
              </a:graphicData>
            </a:graphic>
          </wp:inline>
        </w:drawing>
      </w:r>
      <w:r>
        <w:drawing>
          <wp:inline distT="0" distB="0" distL="114300" distR="114300">
            <wp:extent cx="5149850" cy="8453120"/>
            <wp:effectExtent l="0" t="0" r="12700" b="5080"/>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pic:cNvPicPr>
                  </pic:nvPicPr>
                  <pic:blipFill>
                    <a:blip r:embed="rId75"/>
                    <a:stretch>
                      <a:fillRect/>
                    </a:stretch>
                  </pic:blipFill>
                  <pic:spPr>
                    <a:xfrm>
                      <a:off x="0" y="0"/>
                      <a:ext cx="5149850" cy="8453120"/>
                    </a:xfrm>
                    <a:prstGeom prst="rect">
                      <a:avLst/>
                    </a:prstGeom>
                    <a:noFill/>
                    <a:ln>
                      <a:noFill/>
                    </a:ln>
                  </pic:spPr>
                </pic:pic>
              </a:graphicData>
            </a:graphic>
          </wp:inline>
        </w:drawing>
      </w:r>
      <w:r>
        <w:drawing>
          <wp:inline distT="0" distB="0" distL="114300" distR="114300">
            <wp:extent cx="5295900" cy="851535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pic:cNvPicPr>
                      <a:picLocks noChangeAspect="1"/>
                    </pic:cNvPicPr>
                  </pic:nvPicPr>
                  <pic:blipFill>
                    <a:blip r:embed="rId76"/>
                    <a:stretch>
                      <a:fillRect/>
                    </a:stretch>
                  </pic:blipFill>
                  <pic:spPr>
                    <a:xfrm>
                      <a:off x="0" y="0"/>
                      <a:ext cx="5295900" cy="8515350"/>
                    </a:xfrm>
                    <a:prstGeom prst="rect">
                      <a:avLst/>
                    </a:prstGeom>
                    <a:noFill/>
                    <a:ln>
                      <a:noFill/>
                    </a:ln>
                  </pic:spPr>
                </pic:pic>
              </a:graphicData>
            </a:graphic>
          </wp:inline>
        </w:drawing>
      </w:r>
    </w:p>
    <w:p w14:paraId="423D0E74">
      <w:pPr>
        <w:keepNext w:val="0"/>
        <w:keepLines w:val="0"/>
        <w:pageBreakBefore w:val="0"/>
        <w:widowControl/>
        <w:kinsoku/>
        <w:wordWrap/>
        <w:overflowPunct/>
        <w:topLinePunct w:val="0"/>
        <w:autoSpaceDE/>
        <w:autoSpaceDN/>
        <w:bidi w:val="0"/>
        <w:adjustRightInd w:val="0"/>
        <w:snapToGrid w:val="0"/>
        <w:textAlignment w:val="auto"/>
        <w:outlineLvl w:val="1"/>
        <w:rPr>
          <w:rFonts w:ascii="Times New Roman" w:hAnsi="Times New Roman" w:cs="Times New Roman"/>
          <w:color w:val="FF000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9CB3FE1">
      <w:pPr>
        <w:keepNext w:val="0"/>
        <w:keepLines w:val="0"/>
        <w:pageBreakBefore w:val="0"/>
        <w:widowControl/>
        <w:kinsoku/>
        <w:wordWrap/>
        <w:overflowPunct/>
        <w:topLinePunct w:val="0"/>
        <w:autoSpaceDE/>
        <w:autoSpaceDN/>
        <w:bidi w:val="0"/>
        <w:adjustRightInd w:val="0"/>
        <w:snapToGrid w:val="0"/>
        <w:textAlignment w:val="auto"/>
        <w:outlineLvl w:val="1"/>
        <w:rPr>
          <w:rFonts w:hint="default" w:ascii="Times New Roman" w:hAnsi="Times New Roman" w:eastAsia="宋体" w:cs="Times New Roman"/>
          <w:b/>
          <w:bCs/>
          <w:color w:val="FF0000"/>
          <w:sz w:val="24"/>
          <w:szCs w:val="24"/>
          <w:lang w:val="en-US" w:eastAsia="zh-CN"/>
        </w:rPr>
      </w:pPr>
      <w:r>
        <w:rPr>
          <w:rFonts w:hint="eastAsia" w:ascii="Times New Roman" w:hAnsi="Times New Roman" w:eastAsia="宋体" w:cs="Times New Roman"/>
          <w:b/>
          <w:bCs/>
          <w:color w:val="auto"/>
          <w:sz w:val="24"/>
          <w:szCs w:val="24"/>
          <w:lang w:val="en-US" w:eastAsia="zh-CN"/>
        </w:rPr>
        <w:t>附件9 验收检测报告</w:t>
      </w:r>
      <w:r>
        <w:drawing>
          <wp:inline distT="0" distB="0" distL="114300" distR="114300">
            <wp:extent cx="5267960" cy="8171815"/>
            <wp:effectExtent l="0" t="0" r="8890" b="635"/>
            <wp:docPr id="4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
                    <pic:cNvPicPr>
                      <a:picLocks noChangeAspect="1"/>
                    </pic:cNvPicPr>
                  </pic:nvPicPr>
                  <pic:blipFill>
                    <a:blip r:embed="rId77"/>
                    <a:stretch>
                      <a:fillRect/>
                    </a:stretch>
                  </pic:blipFill>
                  <pic:spPr>
                    <a:xfrm>
                      <a:off x="0" y="0"/>
                      <a:ext cx="5267960" cy="8171815"/>
                    </a:xfrm>
                    <a:prstGeom prst="rect">
                      <a:avLst/>
                    </a:prstGeom>
                    <a:noFill/>
                    <a:ln>
                      <a:noFill/>
                    </a:ln>
                  </pic:spPr>
                </pic:pic>
              </a:graphicData>
            </a:graphic>
          </wp:inline>
        </w:drawing>
      </w:r>
      <w:r>
        <w:drawing>
          <wp:inline distT="0" distB="0" distL="114300" distR="114300">
            <wp:extent cx="5264785" cy="8465185"/>
            <wp:effectExtent l="0" t="0" r="12065" b="12065"/>
            <wp:docPr id="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5"/>
                    <pic:cNvPicPr>
                      <a:picLocks noChangeAspect="1"/>
                    </pic:cNvPicPr>
                  </pic:nvPicPr>
                  <pic:blipFill>
                    <a:blip r:embed="rId78"/>
                    <a:stretch>
                      <a:fillRect/>
                    </a:stretch>
                  </pic:blipFill>
                  <pic:spPr>
                    <a:xfrm>
                      <a:off x="0" y="0"/>
                      <a:ext cx="5264785" cy="8465185"/>
                    </a:xfrm>
                    <a:prstGeom prst="rect">
                      <a:avLst/>
                    </a:prstGeom>
                    <a:noFill/>
                    <a:ln>
                      <a:noFill/>
                    </a:ln>
                  </pic:spPr>
                </pic:pic>
              </a:graphicData>
            </a:graphic>
          </wp:inline>
        </w:drawing>
      </w:r>
      <w:r>
        <w:drawing>
          <wp:inline distT="0" distB="0" distL="114300" distR="114300">
            <wp:extent cx="5269865" cy="8482965"/>
            <wp:effectExtent l="0" t="0" r="6985" b="13335"/>
            <wp:docPr id="4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pic:cNvPicPr>
                      <a:picLocks noChangeAspect="1"/>
                    </pic:cNvPicPr>
                  </pic:nvPicPr>
                  <pic:blipFill>
                    <a:blip r:embed="rId79"/>
                    <a:stretch>
                      <a:fillRect/>
                    </a:stretch>
                  </pic:blipFill>
                  <pic:spPr>
                    <a:xfrm>
                      <a:off x="0" y="0"/>
                      <a:ext cx="5269865" cy="8482965"/>
                    </a:xfrm>
                    <a:prstGeom prst="rect">
                      <a:avLst/>
                    </a:prstGeom>
                    <a:noFill/>
                    <a:ln>
                      <a:noFill/>
                    </a:ln>
                  </pic:spPr>
                </pic:pic>
              </a:graphicData>
            </a:graphic>
          </wp:inline>
        </w:drawing>
      </w:r>
      <w:r>
        <w:drawing>
          <wp:inline distT="0" distB="0" distL="114300" distR="114300">
            <wp:extent cx="5266690" cy="8629015"/>
            <wp:effectExtent l="0" t="0" r="10160" b="635"/>
            <wp:docPr id="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7"/>
                    <pic:cNvPicPr>
                      <a:picLocks noChangeAspect="1"/>
                    </pic:cNvPicPr>
                  </pic:nvPicPr>
                  <pic:blipFill>
                    <a:blip r:embed="rId80"/>
                    <a:stretch>
                      <a:fillRect/>
                    </a:stretch>
                  </pic:blipFill>
                  <pic:spPr>
                    <a:xfrm>
                      <a:off x="0" y="0"/>
                      <a:ext cx="5266690" cy="8629015"/>
                    </a:xfrm>
                    <a:prstGeom prst="rect">
                      <a:avLst/>
                    </a:prstGeom>
                    <a:noFill/>
                    <a:ln>
                      <a:noFill/>
                    </a:ln>
                  </pic:spPr>
                </pic:pic>
              </a:graphicData>
            </a:graphic>
          </wp:inline>
        </w:drawing>
      </w:r>
      <w:r>
        <w:drawing>
          <wp:inline distT="0" distB="0" distL="114300" distR="114300">
            <wp:extent cx="5266690" cy="8339455"/>
            <wp:effectExtent l="0" t="0" r="10160" b="4445"/>
            <wp:docPr id="4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8"/>
                    <pic:cNvPicPr>
                      <a:picLocks noChangeAspect="1"/>
                    </pic:cNvPicPr>
                  </pic:nvPicPr>
                  <pic:blipFill>
                    <a:blip r:embed="rId81"/>
                    <a:stretch>
                      <a:fillRect/>
                    </a:stretch>
                  </pic:blipFill>
                  <pic:spPr>
                    <a:xfrm>
                      <a:off x="0" y="0"/>
                      <a:ext cx="5266690" cy="8339455"/>
                    </a:xfrm>
                    <a:prstGeom prst="rect">
                      <a:avLst/>
                    </a:prstGeom>
                    <a:noFill/>
                    <a:ln>
                      <a:noFill/>
                    </a:ln>
                  </pic:spPr>
                </pic:pic>
              </a:graphicData>
            </a:graphic>
          </wp:inline>
        </w:drawing>
      </w:r>
      <w:r>
        <w:drawing>
          <wp:inline distT="0" distB="0" distL="114300" distR="114300">
            <wp:extent cx="5269230" cy="8315960"/>
            <wp:effectExtent l="0" t="0" r="7620" b="8890"/>
            <wp:docPr id="4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9"/>
                    <pic:cNvPicPr>
                      <a:picLocks noChangeAspect="1"/>
                    </pic:cNvPicPr>
                  </pic:nvPicPr>
                  <pic:blipFill>
                    <a:blip r:embed="rId82"/>
                    <a:stretch>
                      <a:fillRect/>
                    </a:stretch>
                  </pic:blipFill>
                  <pic:spPr>
                    <a:xfrm>
                      <a:off x="0" y="0"/>
                      <a:ext cx="5269230" cy="8315960"/>
                    </a:xfrm>
                    <a:prstGeom prst="rect">
                      <a:avLst/>
                    </a:prstGeom>
                    <a:noFill/>
                    <a:ln>
                      <a:noFill/>
                    </a:ln>
                  </pic:spPr>
                </pic:pic>
              </a:graphicData>
            </a:graphic>
          </wp:inline>
        </w:drawing>
      </w:r>
      <w:r>
        <w:drawing>
          <wp:inline distT="0" distB="0" distL="114300" distR="114300">
            <wp:extent cx="5264785" cy="8723630"/>
            <wp:effectExtent l="0" t="0" r="12065" b="1270"/>
            <wp:docPr id="5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0"/>
                    <pic:cNvPicPr>
                      <a:picLocks noChangeAspect="1"/>
                    </pic:cNvPicPr>
                  </pic:nvPicPr>
                  <pic:blipFill>
                    <a:blip r:embed="rId83"/>
                    <a:stretch>
                      <a:fillRect/>
                    </a:stretch>
                  </pic:blipFill>
                  <pic:spPr>
                    <a:xfrm>
                      <a:off x="0" y="0"/>
                      <a:ext cx="5264785" cy="8723630"/>
                    </a:xfrm>
                    <a:prstGeom prst="rect">
                      <a:avLst/>
                    </a:prstGeom>
                    <a:noFill/>
                    <a:ln>
                      <a:noFill/>
                    </a:ln>
                  </pic:spPr>
                </pic:pic>
              </a:graphicData>
            </a:graphic>
          </wp:inline>
        </w:drawing>
      </w:r>
      <w:r>
        <w:drawing>
          <wp:inline distT="0" distB="0" distL="114300" distR="114300">
            <wp:extent cx="5267960" cy="8577580"/>
            <wp:effectExtent l="0" t="0" r="8890" b="13970"/>
            <wp:docPr id="5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1"/>
                    <pic:cNvPicPr>
                      <a:picLocks noChangeAspect="1"/>
                    </pic:cNvPicPr>
                  </pic:nvPicPr>
                  <pic:blipFill>
                    <a:blip r:embed="rId84"/>
                    <a:stretch>
                      <a:fillRect/>
                    </a:stretch>
                  </pic:blipFill>
                  <pic:spPr>
                    <a:xfrm>
                      <a:off x="0" y="0"/>
                      <a:ext cx="5267960" cy="8577580"/>
                    </a:xfrm>
                    <a:prstGeom prst="rect">
                      <a:avLst/>
                    </a:prstGeom>
                    <a:noFill/>
                    <a:ln>
                      <a:noFill/>
                    </a:ln>
                  </pic:spPr>
                </pic:pic>
              </a:graphicData>
            </a:graphic>
          </wp:inline>
        </w:drawing>
      </w:r>
      <w:r>
        <w:drawing>
          <wp:inline distT="0" distB="0" distL="114300" distR="114300">
            <wp:extent cx="5269865" cy="8594725"/>
            <wp:effectExtent l="0" t="0" r="6985" b="15875"/>
            <wp:docPr id="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2"/>
                    <pic:cNvPicPr>
                      <a:picLocks noChangeAspect="1"/>
                    </pic:cNvPicPr>
                  </pic:nvPicPr>
                  <pic:blipFill>
                    <a:blip r:embed="rId85"/>
                    <a:stretch>
                      <a:fillRect/>
                    </a:stretch>
                  </pic:blipFill>
                  <pic:spPr>
                    <a:xfrm>
                      <a:off x="0" y="0"/>
                      <a:ext cx="5269865" cy="8594725"/>
                    </a:xfrm>
                    <a:prstGeom prst="rect">
                      <a:avLst/>
                    </a:prstGeom>
                    <a:noFill/>
                    <a:ln>
                      <a:noFill/>
                    </a:ln>
                  </pic:spPr>
                </pic:pic>
              </a:graphicData>
            </a:graphic>
          </wp:inline>
        </w:drawing>
      </w:r>
      <w:r>
        <w:drawing>
          <wp:inline distT="0" distB="0" distL="114300" distR="114300">
            <wp:extent cx="5267325" cy="8515985"/>
            <wp:effectExtent l="0" t="0" r="9525" b="18415"/>
            <wp:docPr id="7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3"/>
                    <pic:cNvPicPr>
                      <a:picLocks noChangeAspect="1"/>
                    </pic:cNvPicPr>
                  </pic:nvPicPr>
                  <pic:blipFill>
                    <a:blip r:embed="rId86"/>
                    <a:stretch>
                      <a:fillRect/>
                    </a:stretch>
                  </pic:blipFill>
                  <pic:spPr>
                    <a:xfrm>
                      <a:off x="0" y="0"/>
                      <a:ext cx="5267325" cy="8515985"/>
                    </a:xfrm>
                    <a:prstGeom prst="rect">
                      <a:avLst/>
                    </a:prstGeom>
                    <a:noFill/>
                    <a:ln>
                      <a:noFill/>
                    </a:ln>
                  </pic:spPr>
                </pic:pic>
              </a:graphicData>
            </a:graphic>
          </wp:inline>
        </w:drawing>
      </w:r>
      <w:r>
        <w:drawing>
          <wp:inline distT="0" distB="0" distL="114300" distR="114300">
            <wp:extent cx="5265420" cy="8498840"/>
            <wp:effectExtent l="0" t="0" r="11430" b="16510"/>
            <wp:docPr id="8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4"/>
                    <pic:cNvPicPr>
                      <a:picLocks noChangeAspect="1"/>
                    </pic:cNvPicPr>
                  </pic:nvPicPr>
                  <pic:blipFill>
                    <a:blip r:embed="rId87"/>
                    <a:stretch>
                      <a:fillRect/>
                    </a:stretch>
                  </pic:blipFill>
                  <pic:spPr>
                    <a:xfrm>
                      <a:off x="0" y="0"/>
                      <a:ext cx="5265420" cy="8498840"/>
                    </a:xfrm>
                    <a:prstGeom prst="rect">
                      <a:avLst/>
                    </a:prstGeom>
                    <a:noFill/>
                    <a:ln>
                      <a:noFill/>
                    </a:ln>
                  </pic:spPr>
                </pic:pic>
              </a:graphicData>
            </a:graphic>
          </wp:inline>
        </w:drawing>
      </w:r>
      <w:r>
        <w:drawing>
          <wp:inline distT="0" distB="0" distL="114300" distR="114300">
            <wp:extent cx="5266690" cy="8602345"/>
            <wp:effectExtent l="0" t="0" r="10160" b="8255"/>
            <wp:docPr id="8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5"/>
                    <pic:cNvPicPr>
                      <a:picLocks noChangeAspect="1"/>
                    </pic:cNvPicPr>
                  </pic:nvPicPr>
                  <pic:blipFill>
                    <a:blip r:embed="rId88"/>
                    <a:stretch>
                      <a:fillRect/>
                    </a:stretch>
                  </pic:blipFill>
                  <pic:spPr>
                    <a:xfrm>
                      <a:off x="0" y="0"/>
                      <a:ext cx="5266690" cy="8602345"/>
                    </a:xfrm>
                    <a:prstGeom prst="rect">
                      <a:avLst/>
                    </a:prstGeom>
                    <a:noFill/>
                    <a:ln>
                      <a:noFill/>
                    </a:ln>
                  </pic:spPr>
                </pic:pic>
              </a:graphicData>
            </a:graphic>
          </wp:inline>
        </w:drawing>
      </w:r>
      <w:r>
        <w:drawing>
          <wp:inline distT="0" distB="0" distL="114300" distR="114300">
            <wp:extent cx="5270500" cy="8475345"/>
            <wp:effectExtent l="0" t="0" r="6350" b="1905"/>
            <wp:docPr id="8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6"/>
                    <pic:cNvPicPr>
                      <a:picLocks noChangeAspect="1"/>
                    </pic:cNvPicPr>
                  </pic:nvPicPr>
                  <pic:blipFill>
                    <a:blip r:embed="rId89"/>
                    <a:stretch>
                      <a:fillRect/>
                    </a:stretch>
                  </pic:blipFill>
                  <pic:spPr>
                    <a:xfrm>
                      <a:off x="0" y="0"/>
                      <a:ext cx="5270500" cy="8475345"/>
                    </a:xfrm>
                    <a:prstGeom prst="rect">
                      <a:avLst/>
                    </a:prstGeom>
                    <a:noFill/>
                    <a:ln>
                      <a:noFill/>
                    </a:ln>
                  </pic:spPr>
                </pic:pic>
              </a:graphicData>
            </a:graphic>
          </wp:inline>
        </w:drawing>
      </w:r>
      <w:r>
        <w:drawing>
          <wp:inline distT="0" distB="0" distL="114300" distR="114300">
            <wp:extent cx="5266690" cy="8556625"/>
            <wp:effectExtent l="0" t="0" r="10160" b="15875"/>
            <wp:docPr id="8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7"/>
                    <pic:cNvPicPr>
                      <a:picLocks noChangeAspect="1"/>
                    </pic:cNvPicPr>
                  </pic:nvPicPr>
                  <pic:blipFill>
                    <a:blip r:embed="rId90"/>
                    <a:stretch>
                      <a:fillRect/>
                    </a:stretch>
                  </pic:blipFill>
                  <pic:spPr>
                    <a:xfrm>
                      <a:off x="0" y="0"/>
                      <a:ext cx="5266690" cy="8556625"/>
                    </a:xfrm>
                    <a:prstGeom prst="rect">
                      <a:avLst/>
                    </a:prstGeom>
                    <a:noFill/>
                    <a:ln>
                      <a:noFill/>
                    </a:ln>
                  </pic:spPr>
                </pic:pic>
              </a:graphicData>
            </a:graphic>
          </wp:inline>
        </w:drawing>
      </w:r>
      <w:r>
        <w:drawing>
          <wp:inline distT="0" distB="0" distL="114300" distR="114300">
            <wp:extent cx="5269865" cy="8509635"/>
            <wp:effectExtent l="0" t="0" r="6985" b="5715"/>
            <wp:docPr id="8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8"/>
                    <pic:cNvPicPr>
                      <a:picLocks noChangeAspect="1"/>
                    </pic:cNvPicPr>
                  </pic:nvPicPr>
                  <pic:blipFill>
                    <a:blip r:embed="rId91"/>
                    <a:stretch>
                      <a:fillRect/>
                    </a:stretch>
                  </pic:blipFill>
                  <pic:spPr>
                    <a:xfrm>
                      <a:off x="0" y="0"/>
                      <a:ext cx="5269865" cy="8509635"/>
                    </a:xfrm>
                    <a:prstGeom prst="rect">
                      <a:avLst/>
                    </a:prstGeom>
                    <a:noFill/>
                    <a:ln>
                      <a:noFill/>
                    </a:ln>
                  </pic:spPr>
                </pic:pic>
              </a:graphicData>
            </a:graphic>
          </wp:inline>
        </w:drawing>
      </w:r>
      <w:r>
        <w:drawing>
          <wp:inline distT="0" distB="0" distL="114300" distR="114300">
            <wp:extent cx="5267325" cy="8613775"/>
            <wp:effectExtent l="0" t="0" r="9525" b="15875"/>
            <wp:docPr id="8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9"/>
                    <pic:cNvPicPr>
                      <a:picLocks noChangeAspect="1"/>
                    </pic:cNvPicPr>
                  </pic:nvPicPr>
                  <pic:blipFill>
                    <a:blip r:embed="rId92"/>
                    <a:stretch>
                      <a:fillRect/>
                    </a:stretch>
                  </pic:blipFill>
                  <pic:spPr>
                    <a:xfrm>
                      <a:off x="0" y="0"/>
                      <a:ext cx="5267325" cy="8613775"/>
                    </a:xfrm>
                    <a:prstGeom prst="rect">
                      <a:avLst/>
                    </a:prstGeom>
                    <a:noFill/>
                    <a:ln>
                      <a:noFill/>
                    </a:ln>
                  </pic:spPr>
                </pic:pic>
              </a:graphicData>
            </a:graphic>
          </wp:inline>
        </w:drawing>
      </w:r>
    </w:p>
    <w:p w14:paraId="6D2A9DF9">
      <w:pPr>
        <w:keepNext w:val="0"/>
        <w:keepLines w:val="0"/>
        <w:pageBreakBefore w:val="0"/>
        <w:widowControl/>
        <w:kinsoku/>
        <w:wordWrap/>
        <w:overflowPunct/>
        <w:topLinePunct w:val="0"/>
        <w:autoSpaceDE/>
        <w:autoSpaceDN/>
        <w:bidi w:val="0"/>
        <w:adjustRightInd w:val="0"/>
        <w:snapToGrid w:val="0"/>
        <w:textAlignment w:val="auto"/>
        <w:outlineLvl w:val="1"/>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附件</w:t>
      </w:r>
      <w:r>
        <w:rPr>
          <w:rFonts w:hint="eastAsia" w:ascii="Times New Roman" w:hAnsi="Times New Roman" w:eastAsia="宋体" w:cs="Times New Roman"/>
          <w:b/>
          <w:bCs/>
          <w:color w:val="auto"/>
          <w:sz w:val="24"/>
          <w:szCs w:val="24"/>
          <w:lang w:val="en-US" w:eastAsia="zh-CN"/>
        </w:rPr>
        <w:t>10</w:t>
      </w:r>
      <w:r>
        <w:rPr>
          <w:rFonts w:hint="default" w:ascii="Times New Roman" w:hAnsi="Times New Roman" w:eastAsia="宋体" w:cs="Times New Roman"/>
          <w:b/>
          <w:bCs/>
          <w:color w:val="auto"/>
          <w:sz w:val="24"/>
          <w:szCs w:val="24"/>
          <w:lang w:val="en-US" w:eastAsia="zh-CN"/>
        </w:rPr>
        <w:t xml:space="preserve"> </w:t>
      </w:r>
      <w:r>
        <w:rPr>
          <w:rFonts w:hint="eastAsia" w:ascii="Times New Roman" w:hAnsi="Times New Roman" w:eastAsia="宋体" w:cs="Times New Roman"/>
          <w:b/>
          <w:bCs/>
          <w:color w:val="auto"/>
          <w:kern w:val="0"/>
          <w:sz w:val="24"/>
          <w:szCs w:val="24"/>
          <w:lang w:val="en-US" w:eastAsia="zh-CN" w:bidi="ar-SA"/>
        </w:rPr>
        <w:t>应急预案备案表</w:t>
      </w:r>
    </w:p>
    <w:p w14:paraId="2B4CB622">
      <w:pPr>
        <w:pStyle w:val="2"/>
        <w:jc w:val="center"/>
        <w:rPr>
          <w:rFonts w:hint="eastAsia"/>
          <w:lang w:val="en-US" w:eastAsia="zh-CN"/>
        </w:rPr>
      </w:pPr>
      <w:r>
        <w:drawing>
          <wp:inline distT="0" distB="0" distL="114300" distR="114300">
            <wp:extent cx="5380990" cy="7821295"/>
            <wp:effectExtent l="0" t="0" r="10160" b="8255"/>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93"/>
                    <a:stretch>
                      <a:fillRect/>
                    </a:stretch>
                  </pic:blipFill>
                  <pic:spPr>
                    <a:xfrm>
                      <a:off x="0" y="0"/>
                      <a:ext cx="5380990" cy="7821295"/>
                    </a:xfrm>
                    <a:prstGeom prst="rect">
                      <a:avLst/>
                    </a:prstGeom>
                    <a:noFill/>
                    <a:ln>
                      <a:noFill/>
                    </a:ln>
                  </pic:spPr>
                </pic:pic>
              </a:graphicData>
            </a:graphic>
          </wp:inline>
        </w:drawing>
      </w:r>
    </w:p>
    <w:p w14:paraId="6058BEC1">
      <w:pPr>
        <w:pStyle w:val="2"/>
        <w:rPr>
          <w:rFonts w:hint="eastAsia"/>
          <w:color w:val="FF0000"/>
          <w:lang w:val="en-US" w:eastAsia="zh-CN"/>
        </w:rPr>
      </w:pPr>
    </w:p>
    <w:p w14:paraId="7AAF2D54">
      <w:pPr>
        <w:rPr>
          <w:rFonts w:hint="eastAsia"/>
          <w:color w:val="FF0000"/>
          <w:lang w:val="en-US" w:eastAsia="zh-CN"/>
        </w:rPr>
        <w:sectPr>
          <w:headerReference r:id="rId15" w:type="default"/>
          <w:footerReference r:id="rId16" w:type="default"/>
          <w:pgSz w:w="11906" w:h="16838"/>
          <w:pgMar w:top="1440" w:right="1803" w:bottom="1440" w:left="1803" w:header="0" w:footer="227"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000AC3BF">
      <w:pPr>
        <w:keepNext/>
        <w:keepLines/>
        <w:bidi w:val="0"/>
        <w:spacing w:before="40" w:after="40" w:line="240" w:lineRule="auto"/>
        <w:ind w:firstLine="0" w:firstLineChars="0"/>
        <w:jc w:val="center"/>
        <w:outlineLvl w:val="0"/>
        <w:rPr>
          <w:rFonts w:hint="eastAsia" w:ascii="黑体" w:hAnsi="黑体" w:eastAsia="黑体" w:cs="黑体"/>
          <w:b/>
          <w:color w:val="000000" w:themeColor="text1"/>
          <w:kern w:val="44"/>
          <w:sz w:val="30"/>
          <w:szCs w:val="24"/>
          <w:lang w:val="en-US" w:eastAsia="zh-CN" w:bidi="ar-SA"/>
          <w14:textFill>
            <w14:solidFill>
              <w14:schemeClr w14:val="tx1"/>
            </w14:solidFill>
          </w14:textFill>
        </w:rPr>
      </w:pPr>
      <w:bookmarkStart w:id="26" w:name="_Toc29302"/>
      <w:bookmarkStart w:id="27" w:name="_Toc16371"/>
      <w:bookmarkStart w:id="28" w:name="_Toc11747"/>
      <w:r>
        <w:drawing>
          <wp:anchor distT="0" distB="0" distL="114300" distR="114300" simplePos="0" relativeHeight="251696128" behindDoc="0" locked="0" layoutInCell="1" allowOverlap="1">
            <wp:simplePos x="0" y="0"/>
            <wp:positionH relativeFrom="column">
              <wp:posOffset>-127635</wp:posOffset>
            </wp:positionH>
            <wp:positionV relativeFrom="paragraph">
              <wp:posOffset>21590</wp:posOffset>
            </wp:positionV>
            <wp:extent cx="9966325" cy="6015990"/>
            <wp:effectExtent l="0" t="0" r="15875" b="3810"/>
            <wp:wrapNone/>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94"/>
                    <a:stretch>
                      <a:fillRect/>
                    </a:stretch>
                  </pic:blipFill>
                  <pic:spPr>
                    <a:xfrm>
                      <a:off x="0" y="0"/>
                      <a:ext cx="9966325" cy="6015990"/>
                    </a:xfrm>
                    <a:prstGeom prst="rect">
                      <a:avLst/>
                    </a:prstGeom>
                    <a:noFill/>
                    <a:ln>
                      <a:noFill/>
                    </a:ln>
                  </pic:spPr>
                </pic:pic>
              </a:graphicData>
            </a:graphic>
          </wp:anchor>
        </w:drawing>
      </w:r>
      <w:r>
        <w:rPr>
          <w:rFonts w:hint="eastAsia" w:ascii="黑体" w:hAnsi="黑体" w:eastAsia="黑体" w:cs="黑体"/>
          <w:b/>
          <w:color w:val="000000" w:themeColor="text1"/>
          <w:kern w:val="44"/>
          <w:sz w:val="30"/>
          <w:szCs w:val="24"/>
          <w:lang w:val="en-US" w:eastAsia="zh-CN" w:bidi="ar-SA"/>
          <w14:textFill>
            <w14:solidFill>
              <w14:schemeClr w14:val="tx1"/>
            </w14:solidFill>
          </w14:textFill>
        </w:rPr>
        <w:t>建设项目竣工环境保护“三同时”验收登记表</w:t>
      </w:r>
      <w:bookmarkEnd w:id="26"/>
      <w:bookmarkEnd w:id="27"/>
      <w:bookmarkEnd w:id="28"/>
    </w:p>
    <w:p w14:paraId="74CE1E3A">
      <w:pPr>
        <w:bidi w:val="0"/>
        <w:adjustRightInd/>
        <w:snapToGrid/>
        <w:spacing w:after="0" w:afterLines="-2147483648" w:line="360" w:lineRule="auto"/>
        <w:jc w:val="both"/>
        <w:rPr>
          <w:rFonts w:hint="default" w:ascii="仿宋" w:hAnsi="仿宋" w:eastAsia="仿宋" w:cs="仿宋"/>
          <w:b/>
          <w:bCs/>
          <w:color w:val="000000" w:themeColor="text1"/>
          <w:kern w:val="0"/>
          <w:sz w:val="21"/>
          <w:szCs w:val="21"/>
          <w:lang w:val="en-US" w:eastAsia="zh-CN"/>
          <w14:textFill>
            <w14:solidFill>
              <w14:schemeClr w14:val="tx1"/>
            </w14:solidFill>
          </w14:textFill>
        </w:rPr>
      </w:pPr>
      <w:bookmarkStart w:id="29" w:name="_Toc14972"/>
      <w:r>
        <w:rPr>
          <w:rFonts w:hint="eastAsia" w:ascii="宋体" w:hAnsi="宋体" w:eastAsia="宋体" w:cs="宋体"/>
          <w:b w:val="0"/>
          <w:bCs w:val="0"/>
          <w:color w:val="000000" w:themeColor="text1"/>
          <w:kern w:val="0"/>
          <w:sz w:val="21"/>
          <w:szCs w:val="21"/>
          <w14:textFill>
            <w14:solidFill>
              <w14:schemeClr w14:val="tx1"/>
            </w14:solidFill>
          </w14:textFill>
        </w:rPr>
        <w:t>填表单位（盖章）：</w:t>
      </w:r>
      <w:r>
        <w:rPr>
          <w:rFonts w:hint="eastAsia" w:ascii="宋体" w:hAnsi="宋体" w:eastAsia="宋体" w:cs="宋体"/>
          <w:b w:val="0"/>
          <w:bCs w:val="0"/>
          <w:color w:val="000000" w:themeColor="text1"/>
          <w:kern w:val="0"/>
          <w:sz w:val="21"/>
          <w:szCs w:val="21"/>
          <w:lang w:eastAsia="zh-CN"/>
          <w14:textFill>
            <w14:solidFill>
              <w14:schemeClr w14:val="tx1"/>
            </w14:solidFill>
          </w14:textFill>
        </w:rPr>
        <w:t>黄山市航瑞新材料有限公司</w:t>
      </w:r>
      <w:r>
        <w:rPr>
          <w:rFonts w:hint="eastAsia" w:ascii="宋体" w:hAnsi="宋体" w:eastAsia="宋体" w:cs="宋体"/>
          <w:b w:val="0"/>
          <w:bCs w:val="0"/>
          <w:color w:val="000000" w:themeColor="text1"/>
          <w:kern w:val="0"/>
          <w:sz w:val="21"/>
          <w:szCs w:val="21"/>
          <w:lang w:val="en-US" w:eastAsia="zh-CN"/>
          <w14:textFill>
            <w14:solidFill>
              <w14:schemeClr w14:val="tx1"/>
            </w14:solidFill>
          </w14:textFill>
        </w:rPr>
        <w:t xml:space="preserve"> </w:t>
      </w:r>
      <w:r>
        <w:rPr>
          <w:rFonts w:hint="eastAsia" w:ascii="宋体" w:hAnsi="宋体" w:eastAsia="宋体" w:cs="宋体"/>
          <w:b w:val="0"/>
          <w:bCs w:val="0"/>
          <w:color w:val="000000" w:themeColor="text1"/>
          <w:kern w:val="0"/>
          <w:sz w:val="21"/>
          <w:szCs w:val="21"/>
          <w14:textFill>
            <w14:solidFill>
              <w14:schemeClr w14:val="tx1"/>
            </w14:solidFill>
          </w14:textFill>
        </w:rPr>
        <w:t xml:space="preserve">  </w:t>
      </w:r>
      <w:r>
        <w:rPr>
          <w:rFonts w:hint="eastAsia" w:ascii="宋体" w:hAnsi="宋体" w:eastAsia="宋体" w:cs="宋体"/>
          <w:b w:val="0"/>
          <w:bCs w:val="0"/>
          <w:color w:val="000000" w:themeColor="text1"/>
          <w:kern w:val="0"/>
          <w:sz w:val="21"/>
          <w:szCs w:val="21"/>
          <w:lang w:val="en-US" w:eastAsia="zh-CN"/>
          <w14:textFill>
            <w14:solidFill>
              <w14:schemeClr w14:val="tx1"/>
            </w14:solidFill>
          </w14:textFill>
        </w:rPr>
        <w:t xml:space="preserve">        </w:t>
      </w:r>
      <w:r>
        <w:rPr>
          <w:rFonts w:hint="eastAsia" w:ascii="宋体" w:hAnsi="宋体" w:eastAsia="宋体" w:cs="宋体"/>
          <w:b w:val="0"/>
          <w:bCs w:val="0"/>
          <w:color w:val="000000" w:themeColor="text1"/>
          <w:kern w:val="0"/>
          <w:sz w:val="21"/>
          <w:szCs w:val="21"/>
          <w14:textFill>
            <w14:solidFill>
              <w14:schemeClr w14:val="tx1"/>
            </w14:solidFill>
          </w14:textFill>
        </w:rPr>
        <w:t xml:space="preserve">     填表人（签字）：         </w:t>
      </w:r>
      <w:r>
        <w:rPr>
          <w:rFonts w:hint="eastAsia" w:ascii="宋体" w:hAnsi="宋体" w:eastAsia="宋体" w:cs="宋体"/>
          <w:b w:val="0"/>
          <w:bCs w:val="0"/>
          <w:color w:val="000000" w:themeColor="text1"/>
          <w:kern w:val="0"/>
          <w:sz w:val="21"/>
          <w:szCs w:val="21"/>
          <w:lang w:val="en-US" w:eastAsia="zh-CN"/>
          <w14:textFill>
            <w14:solidFill>
              <w14:schemeClr w14:val="tx1"/>
            </w14:solidFill>
          </w14:textFill>
        </w:rPr>
        <w:t xml:space="preserve">           </w:t>
      </w:r>
      <w:r>
        <w:rPr>
          <w:rFonts w:hint="eastAsia" w:ascii="宋体" w:hAnsi="宋体" w:eastAsia="宋体" w:cs="宋体"/>
          <w:b w:val="0"/>
          <w:bCs w:val="0"/>
          <w:color w:val="000000" w:themeColor="text1"/>
          <w:kern w:val="0"/>
          <w:sz w:val="21"/>
          <w:szCs w:val="21"/>
          <w14:textFill>
            <w14:solidFill>
              <w14:schemeClr w14:val="tx1"/>
            </w14:solidFill>
          </w14:textFill>
        </w:rPr>
        <w:t xml:space="preserve">        项目经办人（签字）：</w:t>
      </w:r>
      <w:bookmarkEnd w:id="29"/>
      <w:r>
        <w:rPr>
          <w:rFonts w:hint="eastAsia" w:ascii="宋体" w:hAnsi="宋体" w:eastAsia="宋体" w:cs="宋体"/>
          <w:b w:val="0"/>
          <w:bCs w:val="0"/>
          <w:color w:val="000000" w:themeColor="text1"/>
          <w:kern w:val="0"/>
          <w:sz w:val="21"/>
          <w:szCs w:val="21"/>
          <w:lang w:val="en-US" w:eastAsia="zh-CN"/>
          <w14:textFill>
            <w14:solidFill>
              <w14:schemeClr w14:val="tx1"/>
            </w14:solidFill>
          </w14:textFill>
        </w:rPr>
        <w:t xml:space="preserve">   </w:t>
      </w:r>
      <w:r>
        <w:rPr>
          <w:rFonts w:hint="eastAsia" w:ascii="宋体" w:hAnsi="宋体" w:eastAsia="宋体" w:cs="宋体"/>
          <w:b/>
          <w:bCs/>
          <w:color w:val="000000" w:themeColor="text1"/>
          <w:kern w:val="0"/>
          <w:sz w:val="21"/>
          <w:szCs w:val="21"/>
          <w:lang w:val="en-US" w:eastAsia="zh-CN"/>
          <w14:textFill>
            <w14:solidFill>
              <w14:schemeClr w14:val="tx1"/>
            </w14:solidFill>
          </w14:textFill>
        </w:rPr>
        <w:t xml:space="preserve">   </w:t>
      </w:r>
      <w:r>
        <w:rPr>
          <w:rFonts w:hint="default" w:ascii="仿宋" w:hAnsi="仿宋" w:eastAsia="仿宋" w:cs="仿宋"/>
          <w:b/>
          <w:bCs/>
          <w:color w:val="000000" w:themeColor="text1"/>
          <w:kern w:val="0"/>
          <w:sz w:val="21"/>
          <w:szCs w:val="21"/>
          <w:lang w:val="en-US" w:eastAsia="zh-CN"/>
          <w14:textFill>
            <w14:solidFill>
              <w14:schemeClr w14:val="tx1"/>
            </w14:solidFill>
          </w14:textFill>
        </w:rPr>
        <w:t xml:space="preserve"> </w:t>
      </w:r>
    </w:p>
    <w:tbl>
      <w:tblPr>
        <w:tblStyle w:val="19"/>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3"/>
        <w:gridCol w:w="293"/>
        <w:gridCol w:w="1568"/>
        <w:gridCol w:w="648"/>
        <w:gridCol w:w="1209"/>
        <w:gridCol w:w="782"/>
        <w:gridCol w:w="993"/>
        <w:gridCol w:w="989"/>
        <w:gridCol w:w="1631"/>
        <w:gridCol w:w="1220"/>
        <w:gridCol w:w="711"/>
        <w:gridCol w:w="529"/>
        <w:gridCol w:w="1110"/>
        <w:gridCol w:w="130"/>
        <w:gridCol w:w="890"/>
        <w:gridCol w:w="1104"/>
        <w:gridCol w:w="1244"/>
      </w:tblGrid>
      <w:tr w14:paraId="4DBD40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146" w:type="pct"/>
            <w:vMerge w:val="restart"/>
            <w:tcMar>
              <w:left w:w="57" w:type="dxa"/>
              <w:right w:w="57" w:type="dxa"/>
            </w:tcMar>
            <w:textDirection w:val="tbRlV"/>
            <w:vAlign w:val="center"/>
          </w:tcPr>
          <w:p w14:paraId="68BC185D">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FF0000"/>
                <w:kern w:val="2"/>
                <w:sz w:val="15"/>
                <w:szCs w:val="15"/>
              </w:rPr>
            </w:pPr>
            <w:r>
              <w:rPr>
                <w:rFonts w:hint="eastAsia" w:ascii="微软雅黑" w:hAnsi="微软雅黑" w:eastAsia="微软雅黑" w:cs="微软雅黑"/>
                <w:b/>
                <w:color w:val="000000" w:themeColor="text1"/>
                <w:kern w:val="2"/>
                <w:sz w:val="15"/>
                <w:szCs w:val="15"/>
                <w14:textFill>
                  <w14:solidFill>
                    <w14:schemeClr w14:val="tx1"/>
                  </w14:solidFill>
                </w14:textFill>
              </w:rPr>
              <w:t>建设项目</w:t>
            </w:r>
          </w:p>
        </w:tc>
        <w:tc>
          <w:tcPr>
            <w:tcW w:w="600" w:type="pct"/>
            <w:gridSpan w:val="2"/>
            <w:tcMar>
              <w:left w:w="57" w:type="dxa"/>
              <w:right w:w="57" w:type="dxa"/>
            </w:tcMar>
            <w:vAlign w:val="center"/>
          </w:tcPr>
          <w:p w14:paraId="04337EF5">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项目名称</w:t>
            </w:r>
          </w:p>
        </w:tc>
        <w:tc>
          <w:tcPr>
            <w:tcW w:w="1490" w:type="pct"/>
            <w:gridSpan w:val="5"/>
            <w:tcMar>
              <w:left w:w="57" w:type="dxa"/>
              <w:right w:w="57" w:type="dxa"/>
            </w:tcMar>
            <w:vAlign w:val="center"/>
          </w:tcPr>
          <w:p w14:paraId="25999503">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cs="微软雅黑"/>
                <w:color w:val="000000" w:themeColor="text1"/>
                <w:kern w:val="2"/>
                <w:sz w:val="15"/>
                <w:szCs w:val="15"/>
                <w:lang w:val="en-US" w:eastAsia="zh-CN"/>
                <w14:textFill>
                  <w14:solidFill>
                    <w14:schemeClr w14:val="tx1"/>
                  </w14:solidFill>
                </w14:textFill>
              </w:rPr>
              <w:t>年产1.2亿平方米PVC保护膜项目（现阶段）</w:t>
            </w:r>
          </w:p>
        </w:tc>
        <w:tc>
          <w:tcPr>
            <w:tcW w:w="525" w:type="pct"/>
            <w:tcMar>
              <w:left w:w="57" w:type="dxa"/>
              <w:right w:w="57" w:type="dxa"/>
            </w:tcMar>
            <w:vAlign w:val="center"/>
          </w:tcPr>
          <w:p w14:paraId="104D8246">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项目代码</w:t>
            </w:r>
          </w:p>
        </w:tc>
        <w:tc>
          <w:tcPr>
            <w:tcW w:w="793" w:type="pct"/>
            <w:gridSpan w:val="3"/>
            <w:tcMar>
              <w:left w:w="57" w:type="dxa"/>
              <w:right w:w="57" w:type="dxa"/>
            </w:tcMar>
            <w:vAlign w:val="center"/>
          </w:tcPr>
          <w:p w14:paraId="2CC6E912">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21</w:t>
            </w:r>
            <w:r>
              <w:rPr>
                <w:rFonts w:hint="eastAsia" w:ascii="微软雅黑" w:hAnsi="微软雅黑" w:cs="微软雅黑"/>
                <w:color w:val="000000" w:themeColor="text1"/>
                <w:kern w:val="2"/>
                <w:sz w:val="15"/>
                <w:szCs w:val="15"/>
                <w:lang w:val="en-US" w:eastAsia="zh-CN"/>
                <w14:textFill>
                  <w14:solidFill>
                    <w14:schemeClr w14:val="tx1"/>
                  </w14:solidFill>
                </w14:textFill>
              </w:rPr>
              <w:t>04</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-34102</w:t>
            </w:r>
            <w:r>
              <w:rPr>
                <w:rFonts w:hint="eastAsia" w:ascii="微软雅黑" w:hAnsi="微软雅黑" w:cs="微软雅黑"/>
                <w:color w:val="000000" w:themeColor="text1"/>
                <w:kern w:val="2"/>
                <w:sz w:val="15"/>
                <w:szCs w:val="15"/>
                <w:lang w:val="en-US" w:eastAsia="zh-CN"/>
                <w14:textFill>
                  <w14:solidFill>
                    <w14:schemeClr w14:val="tx1"/>
                  </w14:solidFill>
                </w14:textFill>
              </w:rPr>
              <w:t>1</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-04-01-</w:t>
            </w:r>
            <w:r>
              <w:rPr>
                <w:rFonts w:hint="eastAsia" w:ascii="微软雅黑" w:hAnsi="微软雅黑" w:cs="微软雅黑"/>
                <w:color w:val="000000" w:themeColor="text1"/>
                <w:kern w:val="2"/>
                <w:sz w:val="15"/>
                <w:szCs w:val="15"/>
                <w:lang w:val="en-US" w:eastAsia="zh-CN"/>
                <w14:textFill>
                  <w14:solidFill>
                    <w14:schemeClr w14:val="tx1"/>
                  </w14:solidFill>
                </w14:textFill>
              </w:rPr>
              <w:t>31</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9</w:t>
            </w:r>
            <w:r>
              <w:rPr>
                <w:rFonts w:hint="eastAsia" w:ascii="微软雅黑" w:hAnsi="微软雅黑" w:cs="微软雅黑"/>
                <w:color w:val="000000" w:themeColor="text1"/>
                <w:kern w:val="2"/>
                <w:sz w:val="15"/>
                <w:szCs w:val="15"/>
                <w:lang w:val="en-US" w:eastAsia="zh-CN"/>
                <w14:textFill>
                  <w14:solidFill>
                    <w14:schemeClr w14:val="tx1"/>
                  </w14:solidFill>
                </w14:textFill>
              </w:rPr>
              <w:t>709</w:t>
            </w:r>
          </w:p>
        </w:tc>
        <w:tc>
          <w:tcPr>
            <w:tcW w:w="357" w:type="pct"/>
            <w:tcMar>
              <w:left w:w="57" w:type="dxa"/>
              <w:right w:w="57" w:type="dxa"/>
            </w:tcMar>
            <w:vAlign w:val="center"/>
          </w:tcPr>
          <w:p w14:paraId="677C70DC">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建设地点</w:t>
            </w:r>
          </w:p>
        </w:tc>
        <w:tc>
          <w:tcPr>
            <w:tcW w:w="1086" w:type="pct"/>
            <w:gridSpan w:val="4"/>
            <w:tcMar>
              <w:left w:w="57" w:type="dxa"/>
              <w:right w:w="57" w:type="dxa"/>
            </w:tcMar>
            <w:vAlign w:val="center"/>
          </w:tcPr>
          <w:p w14:paraId="41CD27E5">
            <w:pPr>
              <w:keepNext w:val="0"/>
              <w:keepLines w:val="0"/>
              <w:pageBreakBefore w:val="0"/>
              <w:widowControl/>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lang w:val="en-US" w:eastAsia="zh-CN"/>
              </w:rPr>
            </w:pPr>
            <w:r>
              <w:rPr>
                <w:rFonts w:hint="eastAsia"/>
                <w:color w:val="000000"/>
                <w:kern w:val="2"/>
                <w:sz w:val="15"/>
                <w:szCs w:val="15"/>
              </w:rPr>
              <w:t>安徽省黄山市歙县经济开发区城西园区北环路</w:t>
            </w:r>
          </w:p>
        </w:tc>
      </w:tr>
      <w:tr w14:paraId="7FCCC1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146" w:type="pct"/>
            <w:vMerge w:val="continue"/>
            <w:tcMar>
              <w:left w:w="57" w:type="dxa"/>
              <w:right w:w="57" w:type="dxa"/>
            </w:tcMar>
            <w:vAlign w:val="center"/>
          </w:tcPr>
          <w:p w14:paraId="126024F1">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rPr>
            </w:pPr>
          </w:p>
        </w:tc>
        <w:tc>
          <w:tcPr>
            <w:tcW w:w="600" w:type="pct"/>
            <w:gridSpan w:val="2"/>
            <w:tcMar>
              <w:left w:w="57" w:type="dxa"/>
              <w:right w:w="57" w:type="dxa"/>
            </w:tcMar>
            <w:vAlign w:val="center"/>
          </w:tcPr>
          <w:p w14:paraId="1E22B491">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行业类别（分类管理名录）</w:t>
            </w:r>
          </w:p>
        </w:tc>
        <w:tc>
          <w:tcPr>
            <w:tcW w:w="1490" w:type="pct"/>
            <w:gridSpan w:val="5"/>
            <w:tcMar>
              <w:left w:w="57" w:type="dxa"/>
              <w:right w:w="57" w:type="dxa"/>
            </w:tcMar>
            <w:vAlign w:val="center"/>
          </w:tcPr>
          <w:p w14:paraId="1D251A29">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lang w:val="en-US" w:eastAsia="zh-CN"/>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C2921塑料薄膜制造</w:t>
            </w:r>
          </w:p>
        </w:tc>
        <w:tc>
          <w:tcPr>
            <w:tcW w:w="525" w:type="pct"/>
            <w:tcMar>
              <w:left w:w="57" w:type="dxa"/>
              <w:right w:w="57" w:type="dxa"/>
            </w:tcMar>
            <w:vAlign w:val="center"/>
          </w:tcPr>
          <w:p w14:paraId="451F83F5">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建设性质</w:t>
            </w:r>
          </w:p>
        </w:tc>
        <w:tc>
          <w:tcPr>
            <w:tcW w:w="1151" w:type="pct"/>
            <w:gridSpan w:val="4"/>
            <w:tcMar>
              <w:left w:w="57" w:type="dxa"/>
              <w:right w:w="57" w:type="dxa"/>
            </w:tcMar>
            <w:vAlign w:val="center"/>
          </w:tcPr>
          <w:p w14:paraId="24B915D9">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val="0"/>
                <w:bCs/>
                <w:color w:val="000000" w:themeColor="text1"/>
                <w:kern w:val="2"/>
                <w:sz w:val="15"/>
                <w:szCs w:val="15"/>
                <w:lang w:eastAsia="zh-CN"/>
                <w14:textFill>
                  <w14:solidFill>
                    <w14:schemeClr w14:val="tx1"/>
                  </w14:solidFill>
                </w14:textFill>
              </w:rPr>
              <w:sym w:font="Wingdings 2" w:char="0052"/>
            </w:r>
            <w:r>
              <w:rPr>
                <w:rFonts w:hint="eastAsia" w:ascii="微软雅黑" w:hAnsi="微软雅黑" w:eastAsia="微软雅黑" w:cs="微软雅黑"/>
                <w:b w:val="0"/>
                <w:bCs/>
                <w:color w:val="000000" w:themeColor="text1"/>
                <w:kern w:val="2"/>
                <w:sz w:val="15"/>
                <w:szCs w:val="15"/>
                <w14:textFill>
                  <w14:solidFill>
                    <w14:schemeClr w14:val="tx1"/>
                  </w14:solidFill>
                </w14:textFill>
              </w:rPr>
              <w:t>新建  □改扩建  □技术改造</w:t>
            </w:r>
          </w:p>
        </w:tc>
        <w:tc>
          <w:tcPr>
            <w:tcW w:w="328" w:type="pct"/>
            <w:gridSpan w:val="2"/>
            <w:tcMar>
              <w:left w:w="57" w:type="dxa"/>
              <w:right w:w="57" w:type="dxa"/>
            </w:tcMar>
            <w:vAlign w:val="center"/>
          </w:tcPr>
          <w:p w14:paraId="289E8399">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项目厂区中心经度/纬度</w:t>
            </w:r>
          </w:p>
        </w:tc>
        <w:tc>
          <w:tcPr>
            <w:tcW w:w="757" w:type="pct"/>
            <w:gridSpan w:val="2"/>
            <w:tcMar>
              <w:left w:w="57" w:type="dxa"/>
              <w:right w:w="57" w:type="dxa"/>
            </w:tcMar>
            <w:vAlign w:val="top"/>
          </w:tcPr>
          <w:p w14:paraId="3D89C925">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color w:val="000000" w:themeColor="text1"/>
                <w:kern w:val="0"/>
                <w:sz w:val="15"/>
                <w:szCs w:val="15"/>
                <w:lang w:val="en-US" w:eastAsia="zh-CN"/>
                <w14:textFill>
                  <w14:solidFill>
                    <w14:schemeClr w14:val="tx1"/>
                  </w14:solidFill>
                </w14:textFill>
              </w:rPr>
              <w:t xml:space="preserve">E </w:t>
            </w:r>
            <w:r>
              <w:rPr>
                <w:rFonts w:hint="eastAsia" w:ascii="微软雅黑" w:hAnsi="微软雅黑" w:eastAsia="微软雅黑" w:cs="微软雅黑"/>
                <w:color w:val="000000" w:themeColor="text1"/>
                <w:kern w:val="0"/>
                <w:sz w:val="15"/>
                <w:szCs w:val="15"/>
                <w14:textFill>
                  <w14:solidFill>
                    <w14:schemeClr w14:val="tx1"/>
                  </w14:solidFill>
                </w14:textFill>
              </w:rPr>
              <w:t>118°</w:t>
            </w:r>
            <w:r>
              <w:rPr>
                <w:rFonts w:hint="eastAsia" w:ascii="微软雅黑" w:hAnsi="微软雅黑" w:cs="微软雅黑"/>
                <w:color w:val="000000" w:themeColor="text1"/>
                <w:kern w:val="0"/>
                <w:sz w:val="15"/>
                <w:szCs w:val="15"/>
                <w:lang w:val="en-US" w:eastAsia="zh-CN"/>
                <w14:textFill>
                  <w14:solidFill>
                    <w14:schemeClr w14:val="tx1"/>
                  </w14:solidFill>
                </w14:textFill>
              </w:rPr>
              <w:t>22</w:t>
            </w:r>
            <w:r>
              <w:rPr>
                <w:rFonts w:hint="eastAsia" w:ascii="微软雅黑" w:hAnsi="微软雅黑" w:eastAsia="微软雅黑" w:cs="微软雅黑"/>
                <w:color w:val="000000" w:themeColor="text1"/>
                <w:kern w:val="0"/>
                <w:sz w:val="15"/>
                <w:szCs w:val="15"/>
                <w14:textFill>
                  <w14:solidFill>
                    <w14:schemeClr w14:val="tx1"/>
                  </w14:solidFill>
                </w14:textFill>
              </w:rPr>
              <w:t>′</w:t>
            </w:r>
            <w:r>
              <w:rPr>
                <w:rFonts w:hint="eastAsia" w:ascii="微软雅黑" w:hAnsi="微软雅黑" w:cs="微软雅黑"/>
                <w:color w:val="000000" w:themeColor="text1"/>
                <w:kern w:val="0"/>
                <w:sz w:val="15"/>
                <w:szCs w:val="15"/>
                <w:lang w:val="en-US" w:eastAsia="zh-CN"/>
                <w14:textFill>
                  <w14:solidFill>
                    <w14:schemeClr w14:val="tx1"/>
                  </w14:solidFill>
                </w14:textFill>
              </w:rPr>
              <w:t>26.44</w:t>
            </w:r>
            <w:r>
              <w:rPr>
                <w:rFonts w:hint="eastAsia" w:ascii="微软雅黑" w:hAnsi="微软雅黑" w:eastAsia="微软雅黑" w:cs="微软雅黑"/>
                <w:color w:val="000000" w:themeColor="text1"/>
                <w:kern w:val="0"/>
                <w:sz w:val="15"/>
                <w:szCs w:val="15"/>
                <w14:textFill>
                  <w14:solidFill>
                    <w14:schemeClr w14:val="tx1"/>
                  </w14:solidFill>
                </w14:textFill>
              </w:rPr>
              <w:t>″</w:t>
            </w:r>
            <w:r>
              <w:rPr>
                <w:rFonts w:hint="eastAsia" w:ascii="微软雅黑" w:hAnsi="微软雅黑" w:eastAsia="微软雅黑" w:cs="微软雅黑"/>
                <w:color w:val="000000" w:themeColor="text1"/>
                <w:kern w:val="0"/>
                <w:sz w:val="15"/>
                <w:szCs w:val="15"/>
                <w:lang w:val="en-US" w:eastAsia="zh-CN"/>
                <w14:textFill>
                  <w14:solidFill>
                    <w14:schemeClr w14:val="tx1"/>
                  </w14:solidFill>
                </w14:textFill>
              </w:rPr>
              <w:t xml:space="preserve">，N </w:t>
            </w:r>
            <w:r>
              <w:rPr>
                <w:rFonts w:hint="eastAsia" w:ascii="微软雅黑" w:hAnsi="微软雅黑" w:eastAsia="微软雅黑" w:cs="微软雅黑"/>
                <w:color w:val="000000" w:themeColor="text1"/>
                <w:kern w:val="0"/>
                <w:sz w:val="15"/>
                <w:szCs w:val="15"/>
                <w14:textFill>
                  <w14:solidFill>
                    <w14:schemeClr w14:val="tx1"/>
                  </w14:solidFill>
                </w14:textFill>
              </w:rPr>
              <w:t>29°</w:t>
            </w:r>
            <w:r>
              <w:rPr>
                <w:rFonts w:hint="eastAsia" w:ascii="微软雅黑" w:hAnsi="微软雅黑" w:cs="微软雅黑"/>
                <w:color w:val="000000" w:themeColor="text1"/>
                <w:kern w:val="0"/>
                <w:sz w:val="15"/>
                <w:szCs w:val="15"/>
                <w:lang w:val="en-US" w:eastAsia="zh-CN"/>
                <w14:textFill>
                  <w14:solidFill>
                    <w14:schemeClr w14:val="tx1"/>
                  </w14:solidFill>
                </w14:textFill>
              </w:rPr>
              <w:t>50</w:t>
            </w:r>
            <w:r>
              <w:rPr>
                <w:rFonts w:hint="eastAsia" w:ascii="微软雅黑" w:hAnsi="微软雅黑" w:eastAsia="微软雅黑" w:cs="微软雅黑"/>
                <w:color w:val="000000" w:themeColor="text1"/>
                <w:kern w:val="0"/>
                <w:sz w:val="15"/>
                <w:szCs w:val="15"/>
                <w14:textFill>
                  <w14:solidFill>
                    <w14:schemeClr w14:val="tx1"/>
                  </w14:solidFill>
                </w14:textFill>
              </w:rPr>
              <w:t>′</w:t>
            </w:r>
            <w:r>
              <w:rPr>
                <w:rFonts w:hint="eastAsia" w:ascii="微软雅黑" w:hAnsi="微软雅黑" w:cs="微软雅黑"/>
                <w:color w:val="000000" w:themeColor="text1"/>
                <w:kern w:val="0"/>
                <w:sz w:val="15"/>
                <w:szCs w:val="15"/>
                <w:lang w:val="en-US" w:eastAsia="zh-CN"/>
                <w14:textFill>
                  <w14:solidFill>
                    <w14:schemeClr w14:val="tx1"/>
                  </w14:solidFill>
                </w14:textFill>
              </w:rPr>
              <w:t>49.81</w:t>
            </w:r>
            <w:r>
              <w:rPr>
                <w:rFonts w:hint="eastAsia" w:ascii="微软雅黑" w:hAnsi="微软雅黑" w:eastAsia="微软雅黑" w:cs="微软雅黑"/>
                <w:color w:val="000000" w:themeColor="text1"/>
                <w:kern w:val="0"/>
                <w:sz w:val="15"/>
                <w:szCs w:val="15"/>
                <w14:textFill>
                  <w14:solidFill>
                    <w14:schemeClr w14:val="tx1"/>
                  </w14:solidFill>
                </w14:textFill>
              </w:rPr>
              <w:t>″</w:t>
            </w:r>
          </w:p>
        </w:tc>
      </w:tr>
      <w:tr w14:paraId="28BA3A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146" w:type="pct"/>
            <w:vMerge w:val="continue"/>
            <w:tcMar>
              <w:left w:w="57" w:type="dxa"/>
              <w:right w:w="57" w:type="dxa"/>
            </w:tcMar>
            <w:vAlign w:val="center"/>
          </w:tcPr>
          <w:p w14:paraId="1ECE2E1B">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rPr>
            </w:pPr>
          </w:p>
        </w:tc>
        <w:tc>
          <w:tcPr>
            <w:tcW w:w="600" w:type="pct"/>
            <w:gridSpan w:val="2"/>
            <w:tcMar>
              <w:left w:w="57" w:type="dxa"/>
              <w:right w:w="57" w:type="dxa"/>
            </w:tcMar>
            <w:vAlign w:val="center"/>
          </w:tcPr>
          <w:p w14:paraId="11BC0882">
            <w:pPr>
              <w:keepNext w:val="0"/>
              <w:keepLines w:val="0"/>
              <w:pageBreakBefore w:val="0"/>
              <w:widowControl/>
              <w:kinsoku/>
              <w:wordWrap/>
              <w:overflowPunct/>
              <w:topLinePunct w:val="0"/>
              <w:autoSpaceDE/>
              <w:autoSpaceDN/>
              <w:bidi w:val="0"/>
              <w:adjustRightInd w:val="0"/>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设计生产能力</w:t>
            </w:r>
          </w:p>
        </w:tc>
        <w:tc>
          <w:tcPr>
            <w:tcW w:w="1490" w:type="pct"/>
            <w:gridSpan w:val="5"/>
            <w:tcMar>
              <w:left w:w="57" w:type="dxa"/>
              <w:right w:w="57" w:type="dxa"/>
            </w:tcMar>
            <w:vAlign w:val="center"/>
          </w:tcPr>
          <w:p w14:paraId="5793BD30">
            <w:pPr>
              <w:keepNext w:val="0"/>
              <w:keepLines w:val="0"/>
              <w:pageBreakBefore w:val="0"/>
              <w:widowControl/>
              <w:kinsoku/>
              <w:wordWrap/>
              <w:overflowPunct/>
              <w:topLinePunct w:val="0"/>
              <w:autoSpaceDE/>
              <w:autoSpaceDN/>
              <w:bidi w:val="0"/>
              <w:adjustRightInd w:val="0"/>
              <w:snapToGrid w:val="0"/>
              <w:spacing w:after="0" w:afterLines="0" w:line="240" w:lineRule="auto"/>
              <w:ind w:left="0" w:right="0"/>
              <w:jc w:val="center"/>
              <w:textAlignment w:val="auto"/>
              <w:rPr>
                <w:rFonts w:hint="default"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cs="微软雅黑"/>
                <w:color w:val="000000" w:themeColor="text1"/>
                <w:kern w:val="2"/>
                <w:sz w:val="15"/>
                <w:szCs w:val="15"/>
                <w:lang w:val="en-US" w:eastAsia="zh-CN"/>
                <w14:textFill>
                  <w14:solidFill>
                    <w14:schemeClr w14:val="tx1"/>
                  </w14:solidFill>
                </w14:textFill>
              </w:rPr>
              <w:t>PVC保护膜1.2亿平方米</w:t>
            </w:r>
            <w:r>
              <w:rPr>
                <w:rFonts w:hint="default" w:ascii="Times New Roman" w:hAnsi="Times New Roman" w:eastAsia="微软雅黑" w:cs="Times New Roman"/>
                <w:color w:val="000000" w:themeColor="text1"/>
                <w:kern w:val="2"/>
                <w:sz w:val="15"/>
                <w:szCs w:val="15"/>
                <w:lang w:val="en-US" w:eastAsia="zh-CN"/>
                <w14:textFill>
                  <w14:solidFill>
                    <w14:schemeClr w14:val="tx1"/>
                  </w14:solidFill>
                </w14:textFill>
              </w:rPr>
              <w:t>/年</w:t>
            </w:r>
          </w:p>
        </w:tc>
        <w:tc>
          <w:tcPr>
            <w:tcW w:w="525" w:type="pct"/>
            <w:tcMar>
              <w:left w:w="57" w:type="dxa"/>
              <w:right w:w="57" w:type="dxa"/>
            </w:tcMar>
            <w:vAlign w:val="center"/>
          </w:tcPr>
          <w:p w14:paraId="4E0D16A9">
            <w:pPr>
              <w:keepNext w:val="0"/>
              <w:keepLines w:val="0"/>
              <w:pageBreakBefore w:val="0"/>
              <w:widowControl/>
              <w:kinsoku/>
              <w:wordWrap/>
              <w:overflowPunct/>
              <w:topLinePunct w:val="0"/>
              <w:autoSpaceDE/>
              <w:autoSpaceDN/>
              <w:bidi w:val="0"/>
              <w:adjustRightInd w:val="0"/>
              <w:snapToGrid w:val="0"/>
              <w:spacing w:after="0" w:afterLines="0" w:line="240" w:lineRule="auto"/>
              <w:ind w:left="0" w:right="0"/>
              <w:jc w:val="center"/>
              <w:textAlignment w:val="auto"/>
              <w:rPr>
                <w:rFonts w:hint="default" w:ascii="Times New Roman" w:hAnsi="Times New Roman" w:eastAsia="微软雅黑" w:cs="Times New Roman"/>
                <w:color w:val="000000" w:themeColor="text1"/>
                <w:kern w:val="2"/>
                <w:sz w:val="15"/>
                <w:szCs w:val="15"/>
                <w14:textFill>
                  <w14:solidFill>
                    <w14:schemeClr w14:val="tx1"/>
                  </w14:solidFill>
                </w14:textFill>
              </w:rPr>
            </w:pPr>
            <w:r>
              <w:rPr>
                <w:rFonts w:hint="default" w:ascii="Times New Roman" w:hAnsi="Times New Roman" w:eastAsia="微软雅黑" w:cs="Times New Roman"/>
                <w:b/>
                <w:color w:val="000000" w:themeColor="text1"/>
                <w:kern w:val="2"/>
                <w:sz w:val="15"/>
                <w:szCs w:val="15"/>
                <w14:textFill>
                  <w14:solidFill>
                    <w14:schemeClr w14:val="tx1"/>
                  </w14:solidFill>
                </w14:textFill>
              </w:rPr>
              <w:t>实际生产能力</w:t>
            </w:r>
          </w:p>
        </w:tc>
        <w:tc>
          <w:tcPr>
            <w:tcW w:w="793" w:type="pct"/>
            <w:gridSpan w:val="3"/>
            <w:tcMar>
              <w:left w:w="57" w:type="dxa"/>
              <w:right w:w="57" w:type="dxa"/>
            </w:tcMar>
            <w:vAlign w:val="center"/>
          </w:tcPr>
          <w:p w14:paraId="6CB6F7D1">
            <w:pPr>
              <w:keepNext w:val="0"/>
              <w:keepLines w:val="0"/>
              <w:pageBreakBefore w:val="0"/>
              <w:widowControl/>
              <w:kinsoku/>
              <w:wordWrap/>
              <w:overflowPunct/>
              <w:topLinePunct w:val="0"/>
              <w:autoSpaceDE/>
              <w:autoSpaceDN/>
              <w:bidi w:val="0"/>
              <w:adjustRightInd w:val="0"/>
              <w:snapToGrid w:val="0"/>
              <w:spacing w:after="0" w:afterLines="0" w:line="240" w:lineRule="auto"/>
              <w:ind w:left="0" w:right="0"/>
              <w:jc w:val="center"/>
              <w:textAlignment w:val="auto"/>
              <w:rPr>
                <w:rFonts w:hint="default" w:ascii="Times New Roman" w:hAnsi="Times New Roman" w:eastAsia="微软雅黑" w:cs="Times New Roman"/>
                <w:b/>
                <w:color w:val="000000" w:themeColor="text1"/>
                <w:kern w:val="2"/>
                <w:sz w:val="15"/>
                <w:szCs w:val="15"/>
                <w14:textFill>
                  <w14:solidFill>
                    <w14:schemeClr w14:val="tx1"/>
                  </w14:solidFill>
                </w14:textFill>
              </w:rPr>
            </w:pPr>
            <w:r>
              <w:rPr>
                <w:rFonts w:hint="eastAsia" w:ascii="微软雅黑" w:hAnsi="微软雅黑" w:cs="微软雅黑"/>
                <w:color w:val="000000" w:themeColor="text1"/>
                <w:kern w:val="2"/>
                <w:sz w:val="15"/>
                <w:szCs w:val="15"/>
                <w:lang w:val="en-US" w:eastAsia="zh-CN"/>
                <w14:textFill>
                  <w14:solidFill>
                    <w14:schemeClr w14:val="tx1"/>
                  </w14:solidFill>
                </w14:textFill>
              </w:rPr>
              <w:t>PVC保护膜4000万平方米</w:t>
            </w:r>
            <w:r>
              <w:rPr>
                <w:rFonts w:hint="default" w:ascii="Times New Roman" w:hAnsi="Times New Roman" w:eastAsia="微软雅黑" w:cs="Times New Roman"/>
                <w:color w:val="000000" w:themeColor="text1"/>
                <w:kern w:val="2"/>
                <w:sz w:val="15"/>
                <w:szCs w:val="15"/>
                <w:lang w:val="en-US" w:eastAsia="zh-CN"/>
                <w14:textFill>
                  <w14:solidFill>
                    <w14:schemeClr w14:val="tx1"/>
                  </w14:solidFill>
                </w14:textFill>
              </w:rPr>
              <w:t>/年</w:t>
            </w:r>
          </w:p>
        </w:tc>
        <w:tc>
          <w:tcPr>
            <w:tcW w:w="357" w:type="pct"/>
            <w:tcMar>
              <w:left w:w="57" w:type="dxa"/>
              <w:right w:w="57" w:type="dxa"/>
            </w:tcMar>
            <w:vAlign w:val="center"/>
          </w:tcPr>
          <w:p w14:paraId="108B2493">
            <w:pPr>
              <w:keepNext w:val="0"/>
              <w:keepLines w:val="0"/>
              <w:pageBreakBefore w:val="0"/>
              <w:widowControl/>
              <w:kinsoku/>
              <w:wordWrap/>
              <w:overflowPunct/>
              <w:topLinePunct w:val="0"/>
              <w:autoSpaceDE/>
              <w:autoSpaceDN/>
              <w:bidi w:val="0"/>
              <w:adjustRightInd w:val="0"/>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环评单位</w:t>
            </w:r>
          </w:p>
        </w:tc>
        <w:tc>
          <w:tcPr>
            <w:tcW w:w="1086" w:type="pct"/>
            <w:gridSpan w:val="4"/>
            <w:tcMar>
              <w:left w:w="57" w:type="dxa"/>
              <w:right w:w="57" w:type="dxa"/>
            </w:tcMar>
            <w:vAlign w:val="center"/>
          </w:tcPr>
          <w:p w14:paraId="70FE7A14">
            <w:pPr>
              <w:keepNext w:val="0"/>
              <w:keepLines w:val="0"/>
              <w:pageBreakBefore w:val="0"/>
              <w:widowControl/>
              <w:kinsoku/>
              <w:wordWrap/>
              <w:overflowPunct/>
              <w:topLinePunct w:val="0"/>
              <w:autoSpaceDE/>
              <w:autoSpaceDN/>
              <w:bidi w:val="0"/>
              <w:adjustRightInd w:val="0"/>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eastAsia="zh-CN"/>
                <w14:textFill>
                  <w14:solidFill>
                    <w14:schemeClr w14:val="tx1"/>
                  </w14:solidFill>
                </w14:textFill>
              </w:rPr>
              <w:t>安徽国恩环境工程有限公司</w:t>
            </w:r>
          </w:p>
        </w:tc>
      </w:tr>
      <w:tr w14:paraId="03D325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146" w:type="pct"/>
            <w:vMerge w:val="continue"/>
            <w:tcMar>
              <w:left w:w="57" w:type="dxa"/>
              <w:right w:w="57" w:type="dxa"/>
            </w:tcMar>
            <w:vAlign w:val="center"/>
          </w:tcPr>
          <w:p w14:paraId="194182CF">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rPr>
            </w:pPr>
          </w:p>
        </w:tc>
        <w:tc>
          <w:tcPr>
            <w:tcW w:w="600" w:type="pct"/>
            <w:gridSpan w:val="2"/>
            <w:tcMar>
              <w:left w:w="57" w:type="dxa"/>
              <w:right w:w="57" w:type="dxa"/>
            </w:tcMar>
            <w:vAlign w:val="center"/>
          </w:tcPr>
          <w:p w14:paraId="4211A421">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环评文件审批机关</w:t>
            </w:r>
          </w:p>
        </w:tc>
        <w:tc>
          <w:tcPr>
            <w:tcW w:w="1490" w:type="pct"/>
            <w:gridSpan w:val="5"/>
            <w:tcMar>
              <w:left w:w="57" w:type="dxa"/>
              <w:right w:w="57" w:type="dxa"/>
            </w:tcMar>
            <w:vAlign w:val="center"/>
          </w:tcPr>
          <w:p w14:paraId="7821265F">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eastAsia="zh-CN"/>
                <w14:textFill>
                  <w14:solidFill>
                    <w14:schemeClr w14:val="tx1"/>
                  </w14:solidFill>
                </w14:textFill>
              </w:rPr>
            </w:pPr>
            <w:r>
              <w:rPr>
                <w:rFonts w:hint="eastAsia" w:ascii="微软雅黑" w:hAnsi="微软雅黑" w:cs="微软雅黑"/>
                <w:color w:val="000000" w:themeColor="text1"/>
                <w:kern w:val="2"/>
                <w:sz w:val="15"/>
                <w:szCs w:val="15"/>
                <w:lang w:eastAsia="zh-CN"/>
                <w14:textFill>
                  <w14:solidFill>
                    <w14:schemeClr w14:val="tx1"/>
                  </w14:solidFill>
                </w14:textFill>
              </w:rPr>
              <w:t>黄山市歙县生态环境分局</w:t>
            </w:r>
          </w:p>
        </w:tc>
        <w:tc>
          <w:tcPr>
            <w:tcW w:w="525" w:type="pct"/>
            <w:tcMar>
              <w:left w:w="57" w:type="dxa"/>
              <w:right w:w="57" w:type="dxa"/>
            </w:tcMar>
            <w:vAlign w:val="center"/>
          </w:tcPr>
          <w:p w14:paraId="26CAE1D6">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审批文号</w:t>
            </w:r>
          </w:p>
        </w:tc>
        <w:tc>
          <w:tcPr>
            <w:tcW w:w="622" w:type="pct"/>
            <w:gridSpan w:val="2"/>
            <w:tcMar>
              <w:left w:w="57" w:type="dxa"/>
              <w:right w:w="57" w:type="dxa"/>
            </w:tcMar>
            <w:vAlign w:val="center"/>
          </w:tcPr>
          <w:p w14:paraId="56513AF0">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lang w:val="en-US" w:eastAsia="zh-CN"/>
              </w:rPr>
            </w:pPr>
            <w:r>
              <w:rPr>
                <w:rFonts w:hint="eastAsia" w:ascii="微软雅黑" w:hAnsi="微软雅黑" w:cs="微软雅黑"/>
                <w:color w:val="000000" w:themeColor="text1"/>
                <w:kern w:val="2"/>
                <w:sz w:val="15"/>
                <w:szCs w:val="15"/>
                <w:lang w:val="en-US" w:eastAsia="zh-CN"/>
                <w14:textFill>
                  <w14:solidFill>
                    <w14:schemeClr w14:val="tx1"/>
                  </w14:solidFill>
                </w14:textFill>
              </w:rPr>
              <w:t>歙</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环字</w:t>
            </w:r>
            <w:r>
              <w:rPr>
                <w:rFonts w:hint="eastAsia" w:ascii="微软雅黑" w:hAnsi="微软雅黑" w:cs="微软雅黑"/>
                <w:color w:val="000000" w:themeColor="text1"/>
                <w:kern w:val="2"/>
                <w:sz w:val="15"/>
                <w:szCs w:val="15"/>
                <w:lang w:val="en-US" w:eastAsia="zh-CN"/>
                <w14:textFill>
                  <w14:solidFill>
                    <w14:schemeClr w14:val="tx1"/>
                  </w14:solidFill>
                </w14:textFill>
              </w:rPr>
              <w:t>〔</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202</w:t>
            </w:r>
            <w:r>
              <w:rPr>
                <w:rFonts w:hint="eastAsia" w:ascii="微软雅黑" w:hAnsi="微软雅黑" w:cs="微软雅黑"/>
                <w:color w:val="000000" w:themeColor="text1"/>
                <w:kern w:val="2"/>
                <w:sz w:val="15"/>
                <w:szCs w:val="15"/>
                <w:lang w:val="en-US" w:eastAsia="zh-CN"/>
                <w14:textFill>
                  <w14:solidFill>
                    <w14:schemeClr w14:val="tx1"/>
                  </w14:solidFill>
                </w14:textFill>
              </w:rPr>
              <w:t>1〕</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1</w:t>
            </w:r>
            <w:r>
              <w:rPr>
                <w:rFonts w:hint="eastAsia" w:ascii="微软雅黑" w:hAnsi="微软雅黑" w:cs="微软雅黑"/>
                <w:color w:val="000000" w:themeColor="text1"/>
                <w:kern w:val="2"/>
                <w:sz w:val="15"/>
                <w:szCs w:val="15"/>
                <w:lang w:val="en-US" w:eastAsia="zh-CN"/>
                <w14:textFill>
                  <w14:solidFill>
                    <w14:schemeClr w14:val="tx1"/>
                  </w14:solidFill>
                </w14:textFill>
              </w:rPr>
              <w:t>10</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号</w:t>
            </w:r>
          </w:p>
        </w:tc>
        <w:tc>
          <w:tcPr>
            <w:tcW w:w="528" w:type="pct"/>
            <w:gridSpan w:val="2"/>
            <w:tcMar>
              <w:left w:w="57" w:type="dxa"/>
              <w:right w:w="57" w:type="dxa"/>
            </w:tcMar>
            <w:vAlign w:val="center"/>
          </w:tcPr>
          <w:p w14:paraId="2755BC99">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环评文件类型</w:t>
            </w:r>
          </w:p>
        </w:tc>
        <w:tc>
          <w:tcPr>
            <w:tcW w:w="1086" w:type="pct"/>
            <w:gridSpan w:val="4"/>
            <w:tcMar>
              <w:left w:w="57" w:type="dxa"/>
              <w:right w:w="57" w:type="dxa"/>
            </w:tcMar>
            <w:vAlign w:val="center"/>
          </w:tcPr>
          <w:p w14:paraId="366678E9">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eastAsia="zh-CN"/>
                <w14:textFill>
                  <w14:solidFill>
                    <w14:schemeClr w14:val="tx1"/>
                  </w14:solidFill>
                </w14:textFill>
              </w:rPr>
              <w:t>环评报告表</w:t>
            </w:r>
          </w:p>
        </w:tc>
      </w:tr>
      <w:tr w14:paraId="0C0778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146" w:type="pct"/>
            <w:vMerge w:val="continue"/>
            <w:tcMar>
              <w:left w:w="57" w:type="dxa"/>
              <w:right w:w="57" w:type="dxa"/>
            </w:tcMar>
            <w:vAlign w:val="center"/>
          </w:tcPr>
          <w:p w14:paraId="0EE925D3">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rPr>
            </w:pPr>
          </w:p>
        </w:tc>
        <w:tc>
          <w:tcPr>
            <w:tcW w:w="600" w:type="pct"/>
            <w:gridSpan w:val="2"/>
            <w:tcMar>
              <w:left w:w="57" w:type="dxa"/>
              <w:right w:w="57" w:type="dxa"/>
            </w:tcMar>
            <w:vAlign w:val="center"/>
          </w:tcPr>
          <w:p w14:paraId="17BD51C3">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rPr>
            </w:pPr>
            <w:r>
              <w:rPr>
                <w:rFonts w:hint="eastAsia" w:ascii="微软雅黑" w:hAnsi="微软雅黑" w:eastAsia="微软雅黑" w:cs="微软雅黑"/>
                <w:b/>
                <w:color w:val="000000" w:themeColor="text1"/>
                <w:kern w:val="2"/>
                <w:sz w:val="15"/>
                <w:szCs w:val="15"/>
                <w14:textFill>
                  <w14:solidFill>
                    <w14:schemeClr w14:val="tx1"/>
                  </w14:solidFill>
                </w14:textFill>
              </w:rPr>
              <w:t>开工日期</w:t>
            </w:r>
          </w:p>
        </w:tc>
        <w:tc>
          <w:tcPr>
            <w:tcW w:w="1490" w:type="pct"/>
            <w:gridSpan w:val="5"/>
            <w:tcMar>
              <w:left w:w="57" w:type="dxa"/>
              <w:right w:w="57" w:type="dxa"/>
            </w:tcMar>
            <w:vAlign w:val="center"/>
          </w:tcPr>
          <w:p w14:paraId="7C3B8295">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FF0000"/>
                <w:kern w:val="2"/>
                <w:sz w:val="15"/>
                <w:szCs w:val="15"/>
                <w:lang w:val="en-US" w:eastAsia="zh-CN"/>
              </w:rPr>
            </w:pPr>
            <w:r>
              <w:rPr>
                <w:rFonts w:hint="eastAsia" w:ascii="微软雅黑" w:hAnsi="微软雅黑" w:eastAsia="微软雅黑" w:cs="微软雅黑"/>
                <w:color w:val="auto"/>
                <w:kern w:val="0"/>
                <w:sz w:val="15"/>
                <w:szCs w:val="15"/>
                <w:lang w:val="en-US" w:eastAsia="zh-CN"/>
              </w:rPr>
              <w:t>202</w:t>
            </w:r>
            <w:r>
              <w:rPr>
                <w:rFonts w:hint="eastAsia" w:ascii="微软雅黑" w:hAnsi="微软雅黑" w:cs="微软雅黑"/>
                <w:color w:val="auto"/>
                <w:kern w:val="0"/>
                <w:sz w:val="15"/>
                <w:szCs w:val="15"/>
                <w:lang w:val="en-US" w:eastAsia="zh-CN"/>
              </w:rPr>
              <w:t>2</w:t>
            </w:r>
            <w:r>
              <w:rPr>
                <w:rFonts w:hint="eastAsia" w:ascii="微软雅黑" w:hAnsi="微软雅黑" w:eastAsia="微软雅黑" w:cs="微软雅黑"/>
                <w:color w:val="auto"/>
                <w:kern w:val="0"/>
                <w:sz w:val="15"/>
                <w:szCs w:val="15"/>
                <w:lang w:val="en-US" w:eastAsia="zh-CN"/>
              </w:rPr>
              <w:t>年</w:t>
            </w:r>
            <w:r>
              <w:rPr>
                <w:rFonts w:hint="eastAsia" w:ascii="微软雅黑" w:hAnsi="微软雅黑" w:cs="微软雅黑"/>
                <w:color w:val="auto"/>
                <w:kern w:val="0"/>
                <w:sz w:val="15"/>
                <w:szCs w:val="15"/>
                <w:lang w:val="en-US" w:eastAsia="zh-CN"/>
              </w:rPr>
              <w:t>3月</w:t>
            </w:r>
          </w:p>
        </w:tc>
        <w:tc>
          <w:tcPr>
            <w:tcW w:w="525" w:type="pct"/>
            <w:tcMar>
              <w:left w:w="57" w:type="dxa"/>
              <w:right w:w="57" w:type="dxa"/>
            </w:tcMar>
            <w:vAlign w:val="center"/>
          </w:tcPr>
          <w:p w14:paraId="1F78791C">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竣工日期</w:t>
            </w:r>
          </w:p>
        </w:tc>
        <w:tc>
          <w:tcPr>
            <w:tcW w:w="622" w:type="pct"/>
            <w:gridSpan w:val="2"/>
            <w:tcMar>
              <w:left w:w="57" w:type="dxa"/>
              <w:right w:w="57" w:type="dxa"/>
            </w:tcMar>
            <w:vAlign w:val="center"/>
          </w:tcPr>
          <w:p w14:paraId="5AFED317">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FF0000"/>
                <w:kern w:val="2"/>
                <w:sz w:val="15"/>
                <w:szCs w:val="15"/>
                <w:lang w:val="en-US" w:eastAsia="zh-CN"/>
              </w:rPr>
            </w:pPr>
            <w:r>
              <w:rPr>
                <w:rFonts w:hint="eastAsia" w:ascii="微软雅黑" w:hAnsi="微软雅黑" w:eastAsia="微软雅黑" w:cs="微软雅黑"/>
                <w:color w:val="auto"/>
                <w:kern w:val="2"/>
                <w:sz w:val="15"/>
                <w:szCs w:val="15"/>
                <w:lang w:val="en-US" w:eastAsia="zh-CN"/>
              </w:rPr>
              <w:t>202</w:t>
            </w:r>
            <w:r>
              <w:rPr>
                <w:rFonts w:hint="eastAsia" w:ascii="微软雅黑" w:hAnsi="微软雅黑" w:cs="微软雅黑"/>
                <w:color w:val="auto"/>
                <w:kern w:val="2"/>
                <w:sz w:val="15"/>
                <w:szCs w:val="15"/>
                <w:lang w:val="en-US" w:eastAsia="zh-CN"/>
              </w:rPr>
              <w:t>4</w:t>
            </w:r>
            <w:r>
              <w:rPr>
                <w:rFonts w:hint="eastAsia" w:ascii="微软雅黑" w:hAnsi="微软雅黑" w:eastAsia="微软雅黑" w:cs="微软雅黑"/>
                <w:color w:val="auto"/>
                <w:kern w:val="2"/>
                <w:sz w:val="15"/>
                <w:szCs w:val="15"/>
                <w:lang w:val="en-US" w:eastAsia="zh-CN"/>
              </w:rPr>
              <w:t>年</w:t>
            </w:r>
            <w:r>
              <w:rPr>
                <w:rFonts w:hint="eastAsia" w:ascii="微软雅黑" w:hAnsi="微软雅黑" w:cs="微软雅黑"/>
                <w:color w:val="auto"/>
                <w:kern w:val="2"/>
                <w:sz w:val="15"/>
                <w:szCs w:val="15"/>
                <w:lang w:val="en-US" w:eastAsia="zh-CN"/>
              </w:rPr>
              <w:t>11月</w:t>
            </w:r>
          </w:p>
        </w:tc>
        <w:tc>
          <w:tcPr>
            <w:tcW w:w="528" w:type="pct"/>
            <w:gridSpan w:val="2"/>
            <w:tcMar>
              <w:left w:w="57" w:type="dxa"/>
              <w:right w:w="57" w:type="dxa"/>
            </w:tcMar>
            <w:vAlign w:val="center"/>
          </w:tcPr>
          <w:p w14:paraId="467B1CCF">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cs="微软雅黑"/>
                <w:b/>
                <w:color w:val="000000" w:themeColor="text1"/>
                <w:kern w:val="2"/>
                <w:sz w:val="15"/>
                <w:szCs w:val="15"/>
                <w:lang w:val="en-US" w:eastAsia="zh-CN"/>
                <w14:textFill>
                  <w14:solidFill>
                    <w14:schemeClr w14:val="tx1"/>
                  </w14:solidFill>
                </w14:textFill>
              </w:rPr>
              <w:t>固定污染源排污登记</w:t>
            </w:r>
            <w:r>
              <w:rPr>
                <w:rFonts w:hint="eastAsia" w:ascii="微软雅黑" w:hAnsi="微软雅黑" w:eastAsia="微软雅黑" w:cs="微软雅黑"/>
                <w:b/>
                <w:color w:val="000000" w:themeColor="text1"/>
                <w:kern w:val="2"/>
                <w:sz w:val="15"/>
                <w:szCs w:val="15"/>
                <w14:textFill>
                  <w14:solidFill>
                    <w14:schemeClr w14:val="tx1"/>
                  </w14:solidFill>
                </w14:textFill>
              </w:rPr>
              <w:t>时间</w:t>
            </w:r>
          </w:p>
        </w:tc>
        <w:tc>
          <w:tcPr>
            <w:tcW w:w="1086" w:type="pct"/>
            <w:gridSpan w:val="4"/>
            <w:tcMar>
              <w:left w:w="57" w:type="dxa"/>
              <w:right w:w="57" w:type="dxa"/>
            </w:tcMar>
            <w:vAlign w:val="center"/>
          </w:tcPr>
          <w:p w14:paraId="41E8F5A3">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cs="微软雅黑"/>
                <w:color w:val="000000" w:themeColor="text1"/>
                <w:kern w:val="2"/>
                <w:sz w:val="15"/>
                <w:szCs w:val="15"/>
                <w:lang w:val="en-US" w:eastAsia="zh-CN"/>
                <w14:textFill>
                  <w14:solidFill>
                    <w14:schemeClr w14:val="tx1"/>
                  </w14:solidFill>
                </w14:textFill>
              </w:rPr>
              <w:t>2025年4月11日</w:t>
            </w:r>
          </w:p>
        </w:tc>
      </w:tr>
      <w:tr w14:paraId="173CD2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146" w:type="pct"/>
            <w:vMerge w:val="continue"/>
            <w:tcMar>
              <w:left w:w="57" w:type="dxa"/>
              <w:right w:w="57" w:type="dxa"/>
            </w:tcMar>
            <w:vAlign w:val="center"/>
          </w:tcPr>
          <w:p w14:paraId="0393182B">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rPr>
            </w:pPr>
          </w:p>
        </w:tc>
        <w:tc>
          <w:tcPr>
            <w:tcW w:w="600" w:type="pct"/>
            <w:gridSpan w:val="2"/>
            <w:tcMar>
              <w:left w:w="57" w:type="dxa"/>
              <w:right w:w="57" w:type="dxa"/>
            </w:tcMar>
            <w:vAlign w:val="center"/>
          </w:tcPr>
          <w:p w14:paraId="67D02DD2">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环保设施设计单位</w:t>
            </w:r>
          </w:p>
        </w:tc>
        <w:tc>
          <w:tcPr>
            <w:tcW w:w="1490" w:type="pct"/>
            <w:gridSpan w:val="5"/>
            <w:tcMar>
              <w:left w:w="57" w:type="dxa"/>
              <w:right w:w="57" w:type="dxa"/>
            </w:tcMar>
            <w:vAlign w:val="center"/>
          </w:tcPr>
          <w:p w14:paraId="34DC2DA9">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安徽中资腾扬环保工程有限公司</w:t>
            </w:r>
          </w:p>
        </w:tc>
        <w:tc>
          <w:tcPr>
            <w:tcW w:w="525" w:type="pct"/>
            <w:tcMar>
              <w:left w:w="57" w:type="dxa"/>
              <w:right w:w="57" w:type="dxa"/>
            </w:tcMar>
            <w:vAlign w:val="center"/>
          </w:tcPr>
          <w:p w14:paraId="6C24D06C">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b/>
                <w:bCs/>
                <w:color w:val="000000" w:themeColor="text1"/>
                <w:kern w:val="2"/>
                <w:sz w:val="15"/>
                <w:szCs w:val="15"/>
                <w:lang w:val="en-US" w:eastAsia="zh-CN"/>
                <w14:textFill>
                  <w14:solidFill>
                    <w14:schemeClr w14:val="tx1"/>
                  </w14:solidFill>
                </w14:textFill>
              </w:rPr>
              <w:t>环保设施施工单位</w:t>
            </w:r>
          </w:p>
        </w:tc>
        <w:tc>
          <w:tcPr>
            <w:tcW w:w="622" w:type="pct"/>
            <w:gridSpan w:val="2"/>
            <w:tcMar>
              <w:left w:w="57" w:type="dxa"/>
              <w:right w:w="57" w:type="dxa"/>
            </w:tcMar>
            <w:vAlign w:val="center"/>
          </w:tcPr>
          <w:p w14:paraId="4EA78E2E">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安徽中资腾扬环保工程有限公司</w:t>
            </w:r>
          </w:p>
        </w:tc>
        <w:tc>
          <w:tcPr>
            <w:tcW w:w="528" w:type="pct"/>
            <w:gridSpan w:val="2"/>
            <w:tcMar>
              <w:left w:w="57" w:type="dxa"/>
              <w:right w:w="57" w:type="dxa"/>
            </w:tcMar>
            <w:vAlign w:val="center"/>
          </w:tcPr>
          <w:p w14:paraId="048262E1">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cs="微软雅黑"/>
                <w:b/>
                <w:color w:val="000000" w:themeColor="text1"/>
                <w:kern w:val="2"/>
                <w:sz w:val="15"/>
                <w:szCs w:val="15"/>
                <w:lang w:val="en-US" w:eastAsia="zh-CN"/>
                <w14:textFill>
                  <w14:solidFill>
                    <w14:schemeClr w14:val="tx1"/>
                  </w14:solidFill>
                </w14:textFill>
              </w:rPr>
              <w:t>固定污染源排污登记</w:t>
            </w:r>
            <w:r>
              <w:rPr>
                <w:rFonts w:hint="eastAsia" w:ascii="微软雅黑" w:hAnsi="微软雅黑" w:eastAsia="微软雅黑" w:cs="微软雅黑"/>
                <w:b/>
                <w:color w:val="000000" w:themeColor="text1"/>
                <w:kern w:val="2"/>
                <w:sz w:val="15"/>
                <w:szCs w:val="15"/>
                <w14:textFill>
                  <w14:solidFill>
                    <w14:schemeClr w14:val="tx1"/>
                  </w14:solidFill>
                </w14:textFill>
              </w:rPr>
              <w:t>编号</w:t>
            </w:r>
          </w:p>
        </w:tc>
        <w:tc>
          <w:tcPr>
            <w:tcW w:w="1086" w:type="pct"/>
            <w:gridSpan w:val="4"/>
            <w:tcMar>
              <w:left w:w="57" w:type="dxa"/>
              <w:right w:w="57" w:type="dxa"/>
            </w:tcMar>
            <w:vAlign w:val="center"/>
          </w:tcPr>
          <w:p w14:paraId="2E153E55">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9134102</w:t>
            </w:r>
            <w:r>
              <w:rPr>
                <w:rFonts w:hint="eastAsia" w:ascii="微软雅黑" w:hAnsi="微软雅黑" w:cs="微软雅黑"/>
                <w:color w:val="000000" w:themeColor="text1"/>
                <w:kern w:val="2"/>
                <w:sz w:val="15"/>
                <w:szCs w:val="15"/>
                <w:lang w:val="en-US" w:eastAsia="zh-CN"/>
                <w14:textFill>
                  <w14:solidFill>
                    <w14:schemeClr w14:val="tx1"/>
                  </w14:solidFill>
                </w14:textFill>
              </w:rPr>
              <w:t>1</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MA</w:t>
            </w:r>
            <w:r>
              <w:rPr>
                <w:rFonts w:hint="eastAsia" w:ascii="微软雅黑" w:hAnsi="微软雅黑" w:cs="微软雅黑"/>
                <w:color w:val="000000" w:themeColor="text1"/>
                <w:kern w:val="2"/>
                <w:sz w:val="15"/>
                <w:szCs w:val="15"/>
                <w:lang w:val="en-US" w:eastAsia="zh-CN"/>
                <w14:textFill>
                  <w14:solidFill>
                    <w14:schemeClr w14:val="tx1"/>
                  </w14:solidFill>
                </w14:textFill>
              </w:rPr>
              <w:t>2WGQBL</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X00</w:t>
            </w:r>
            <w:r>
              <w:rPr>
                <w:rFonts w:hint="eastAsia" w:ascii="微软雅黑" w:hAnsi="微软雅黑" w:cs="微软雅黑"/>
                <w:color w:val="000000" w:themeColor="text1"/>
                <w:kern w:val="2"/>
                <w:sz w:val="15"/>
                <w:szCs w:val="15"/>
                <w:lang w:val="en-US" w:eastAsia="zh-CN"/>
                <w14:textFill>
                  <w14:solidFill>
                    <w14:schemeClr w14:val="tx1"/>
                  </w14:solidFill>
                </w14:textFill>
              </w:rPr>
              <w:t>0</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1</w:t>
            </w:r>
            <w:r>
              <w:rPr>
                <w:rFonts w:hint="eastAsia" w:ascii="微软雅黑" w:hAnsi="微软雅黑" w:cs="微软雅黑"/>
                <w:color w:val="000000" w:themeColor="text1"/>
                <w:kern w:val="2"/>
                <w:sz w:val="15"/>
                <w:szCs w:val="15"/>
                <w:lang w:val="en-US" w:eastAsia="zh-CN"/>
                <w14:textFill>
                  <w14:solidFill>
                    <w14:schemeClr w14:val="tx1"/>
                  </w14:solidFill>
                </w14:textFill>
              </w:rPr>
              <w:t>Z</w:t>
            </w:r>
          </w:p>
        </w:tc>
      </w:tr>
      <w:tr w14:paraId="69FB9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146" w:type="pct"/>
            <w:vMerge w:val="continue"/>
            <w:tcMar>
              <w:left w:w="57" w:type="dxa"/>
              <w:right w:w="57" w:type="dxa"/>
            </w:tcMar>
            <w:vAlign w:val="center"/>
          </w:tcPr>
          <w:p w14:paraId="71208006">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rPr>
            </w:pPr>
          </w:p>
        </w:tc>
        <w:tc>
          <w:tcPr>
            <w:tcW w:w="600" w:type="pct"/>
            <w:gridSpan w:val="2"/>
            <w:tcMar>
              <w:left w:w="57" w:type="dxa"/>
              <w:right w:w="57" w:type="dxa"/>
            </w:tcMar>
            <w:vAlign w:val="center"/>
          </w:tcPr>
          <w:p w14:paraId="0B2ABB85">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验收</w:t>
            </w:r>
            <w:r>
              <w:rPr>
                <w:rFonts w:hint="eastAsia" w:ascii="微软雅黑" w:hAnsi="微软雅黑" w:eastAsia="微软雅黑" w:cs="微软雅黑"/>
                <w:b/>
                <w:color w:val="000000" w:themeColor="text1"/>
                <w:kern w:val="2"/>
                <w:sz w:val="15"/>
                <w:szCs w:val="15"/>
                <w:lang w:eastAsia="zh-CN"/>
                <w14:textFill>
                  <w14:solidFill>
                    <w14:schemeClr w14:val="tx1"/>
                  </w14:solidFill>
                </w14:textFill>
              </w:rPr>
              <w:t>监测</w:t>
            </w:r>
            <w:r>
              <w:rPr>
                <w:rFonts w:hint="eastAsia" w:ascii="微软雅黑" w:hAnsi="微软雅黑" w:eastAsia="微软雅黑" w:cs="微软雅黑"/>
                <w:b/>
                <w:color w:val="000000" w:themeColor="text1"/>
                <w:kern w:val="2"/>
                <w:sz w:val="15"/>
                <w:szCs w:val="15"/>
                <w14:textFill>
                  <w14:solidFill>
                    <w14:schemeClr w14:val="tx1"/>
                  </w14:solidFill>
                </w14:textFill>
              </w:rPr>
              <w:t>单位</w:t>
            </w:r>
          </w:p>
        </w:tc>
        <w:tc>
          <w:tcPr>
            <w:tcW w:w="1490" w:type="pct"/>
            <w:gridSpan w:val="5"/>
            <w:tcMar>
              <w:left w:w="57" w:type="dxa"/>
              <w:right w:w="57" w:type="dxa"/>
            </w:tcMar>
            <w:vAlign w:val="center"/>
          </w:tcPr>
          <w:p w14:paraId="5CC587A1">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黄山华安</w:t>
            </w:r>
            <w:r>
              <w:rPr>
                <w:rFonts w:hint="eastAsia" w:ascii="微软雅黑" w:hAnsi="微软雅黑" w:eastAsia="微软雅黑" w:cs="微软雅黑"/>
                <w:color w:val="auto"/>
                <w:kern w:val="2"/>
                <w:sz w:val="15"/>
                <w:szCs w:val="15"/>
                <w:lang w:val="en-US" w:eastAsia="zh-CN"/>
              </w:rPr>
              <w:t>测检测</w:t>
            </w:r>
            <w:r>
              <w:rPr>
                <w:rFonts w:hint="eastAsia" w:ascii="微软雅黑" w:hAnsi="微软雅黑" w:eastAsia="微软雅黑" w:cs="微软雅黑"/>
                <w:color w:val="auto"/>
                <w:kern w:val="2"/>
                <w:sz w:val="15"/>
                <w:szCs w:val="15"/>
                <w:lang w:eastAsia="zh-CN"/>
              </w:rPr>
              <w:t>技</w:t>
            </w:r>
            <w:r>
              <w:rPr>
                <w:rFonts w:hint="eastAsia" w:ascii="微软雅黑" w:hAnsi="微软雅黑" w:eastAsia="微软雅黑" w:cs="微软雅黑"/>
                <w:color w:val="000000" w:themeColor="text1"/>
                <w:kern w:val="2"/>
                <w:sz w:val="15"/>
                <w:szCs w:val="15"/>
                <w:lang w:eastAsia="zh-CN"/>
                <w14:textFill>
                  <w14:solidFill>
                    <w14:schemeClr w14:val="tx1"/>
                  </w14:solidFill>
                </w14:textFill>
              </w:rPr>
              <w:t>术有限公司</w:t>
            </w:r>
          </w:p>
        </w:tc>
        <w:tc>
          <w:tcPr>
            <w:tcW w:w="525" w:type="pct"/>
            <w:tcMar>
              <w:left w:w="57" w:type="dxa"/>
              <w:right w:w="57" w:type="dxa"/>
            </w:tcMar>
            <w:vAlign w:val="center"/>
          </w:tcPr>
          <w:p w14:paraId="28E5B18A">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环保设施监测单位</w:t>
            </w:r>
          </w:p>
        </w:tc>
        <w:tc>
          <w:tcPr>
            <w:tcW w:w="622" w:type="pct"/>
            <w:gridSpan w:val="2"/>
            <w:tcMar>
              <w:left w:w="57" w:type="dxa"/>
              <w:right w:w="57" w:type="dxa"/>
            </w:tcMar>
            <w:vAlign w:val="center"/>
          </w:tcPr>
          <w:p w14:paraId="757D1F97">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黄山华安测检测</w:t>
            </w:r>
            <w:r>
              <w:rPr>
                <w:rFonts w:hint="eastAsia" w:ascii="微软雅黑" w:hAnsi="微软雅黑" w:eastAsia="微软雅黑" w:cs="微软雅黑"/>
                <w:color w:val="000000" w:themeColor="text1"/>
                <w:kern w:val="2"/>
                <w:sz w:val="15"/>
                <w:szCs w:val="15"/>
                <w:lang w:eastAsia="zh-CN"/>
                <w14:textFill>
                  <w14:solidFill>
                    <w14:schemeClr w14:val="tx1"/>
                  </w14:solidFill>
                </w14:textFill>
              </w:rPr>
              <w:t>技术有限公司</w:t>
            </w:r>
          </w:p>
        </w:tc>
        <w:tc>
          <w:tcPr>
            <w:tcW w:w="528" w:type="pct"/>
            <w:gridSpan w:val="2"/>
            <w:tcMar>
              <w:left w:w="57" w:type="dxa"/>
              <w:right w:w="57" w:type="dxa"/>
            </w:tcMar>
            <w:vAlign w:val="center"/>
          </w:tcPr>
          <w:p w14:paraId="59F29AAF">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0"/>
                <w:sz w:val="15"/>
                <w:szCs w:val="15"/>
                <w:lang w:val="en-US" w:eastAsia="zh-CN"/>
                <w14:textFill>
                  <w14:solidFill>
                    <w14:schemeClr w14:val="tx1"/>
                  </w14:solidFill>
                </w14:textFill>
              </w:rPr>
            </w:pPr>
            <w:r>
              <w:rPr>
                <w:rFonts w:hint="eastAsia" w:ascii="微软雅黑" w:hAnsi="微软雅黑" w:eastAsia="微软雅黑" w:cs="微软雅黑"/>
                <w:b/>
                <w:bCs/>
                <w:color w:val="000000" w:themeColor="text1"/>
                <w:kern w:val="0"/>
                <w:sz w:val="15"/>
                <w:szCs w:val="15"/>
                <w:lang w:val="en-US" w:eastAsia="zh-CN"/>
                <w14:textFill>
                  <w14:solidFill>
                    <w14:schemeClr w14:val="tx1"/>
                  </w14:solidFill>
                </w14:textFill>
              </w:rPr>
              <w:t>验收监测时工况</w:t>
            </w:r>
          </w:p>
        </w:tc>
        <w:tc>
          <w:tcPr>
            <w:tcW w:w="1086" w:type="pct"/>
            <w:gridSpan w:val="4"/>
            <w:tcMar>
              <w:left w:w="57" w:type="dxa"/>
              <w:right w:w="57" w:type="dxa"/>
            </w:tcMar>
            <w:vAlign w:val="center"/>
          </w:tcPr>
          <w:p w14:paraId="03FFECF2">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Times New Roman" w:hAnsi="Times New Roman" w:eastAsia="微软雅黑" w:cs="Times New Roman"/>
                <w:color w:val="000000" w:themeColor="text1"/>
                <w:kern w:val="2"/>
                <w:sz w:val="15"/>
                <w:szCs w:val="15"/>
                <w:lang w:val="en-US" w:eastAsia="zh-CN"/>
                <w14:textFill>
                  <w14:solidFill>
                    <w14:schemeClr w14:val="tx1"/>
                  </w14:solidFill>
                </w14:textFill>
              </w:rPr>
            </w:pPr>
            <w:r>
              <w:rPr>
                <w:rFonts w:hint="default" w:ascii="Times New Roman" w:hAnsi="Times New Roman" w:eastAsia="微软雅黑" w:cs="Times New Roman"/>
                <w:color w:val="000000" w:themeColor="text1"/>
                <w:kern w:val="2"/>
                <w:sz w:val="15"/>
                <w:szCs w:val="15"/>
                <w:lang w:val="en-US" w:eastAsia="zh-CN"/>
                <w14:textFill>
                  <w14:solidFill>
                    <w14:schemeClr w14:val="tx1"/>
                  </w14:solidFill>
                </w14:textFill>
              </w:rPr>
              <w:t>202</w:t>
            </w:r>
            <w:r>
              <w:rPr>
                <w:rFonts w:hint="eastAsia" w:ascii="Times New Roman" w:hAnsi="Times New Roman" w:cs="Times New Roman"/>
                <w:color w:val="000000" w:themeColor="text1"/>
                <w:kern w:val="2"/>
                <w:sz w:val="15"/>
                <w:szCs w:val="15"/>
                <w:lang w:val="en-US" w:eastAsia="zh-CN"/>
                <w14:textFill>
                  <w14:solidFill>
                    <w14:schemeClr w14:val="tx1"/>
                  </w14:solidFill>
                </w14:textFill>
              </w:rPr>
              <w:t>6</w:t>
            </w:r>
            <w:r>
              <w:rPr>
                <w:rFonts w:hint="default" w:ascii="Times New Roman" w:hAnsi="Times New Roman" w:eastAsia="微软雅黑" w:cs="Times New Roman"/>
                <w:color w:val="000000" w:themeColor="text1"/>
                <w:kern w:val="2"/>
                <w:sz w:val="15"/>
                <w:szCs w:val="15"/>
                <w:lang w:val="en-US" w:eastAsia="zh-CN"/>
                <w14:textFill>
                  <w14:solidFill>
                    <w14:schemeClr w14:val="tx1"/>
                  </w14:solidFill>
                </w14:textFill>
              </w:rPr>
              <w:t>.</w:t>
            </w:r>
            <w:r>
              <w:rPr>
                <w:rFonts w:hint="default" w:ascii="Times New Roman" w:hAnsi="Times New Roman" w:cs="Times New Roman"/>
                <w:color w:val="000000" w:themeColor="text1"/>
                <w:kern w:val="2"/>
                <w:sz w:val="15"/>
                <w:szCs w:val="15"/>
                <w:lang w:val="en-US" w:eastAsia="zh-CN"/>
                <w14:textFill>
                  <w14:solidFill>
                    <w14:schemeClr w14:val="tx1"/>
                  </w14:solidFill>
                </w14:textFill>
              </w:rPr>
              <w:t>1.1</w:t>
            </w:r>
            <w:r>
              <w:rPr>
                <w:rFonts w:hint="eastAsia" w:ascii="Times New Roman" w:hAnsi="Times New Roman" w:cs="Times New Roman"/>
                <w:color w:val="000000" w:themeColor="text1"/>
                <w:kern w:val="2"/>
                <w:sz w:val="15"/>
                <w:szCs w:val="15"/>
                <w:lang w:val="en-US" w:eastAsia="zh-CN"/>
                <w14:textFill>
                  <w14:solidFill>
                    <w14:schemeClr w14:val="tx1"/>
                  </w14:solidFill>
                </w14:textFill>
              </w:rPr>
              <w:t>0</w:t>
            </w:r>
            <w:r>
              <w:rPr>
                <w:rFonts w:hint="default" w:ascii="Times New Roman" w:hAnsi="Times New Roman" w:eastAsia="微软雅黑" w:cs="Times New Roman"/>
                <w:color w:val="000000" w:themeColor="text1"/>
                <w:kern w:val="2"/>
                <w:sz w:val="15"/>
                <w:szCs w:val="15"/>
                <w:lang w:val="en-US" w:eastAsia="zh-CN"/>
                <w14:textFill>
                  <w14:solidFill>
                    <w14:schemeClr w14:val="tx1"/>
                  </w14:solidFill>
                </w14:textFill>
              </w:rPr>
              <w:t>：PVC保护膜13.2万平方米；</w:t>
            </w:r>
          </w:p>
          <w:p w14:paraId="4FB33427">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000000" w:themeColor="text1"/>
                <w:kern w:val="0"/>
                <w:sz w:val="15"/>
                <w:szCs w:val="15"/>
                <w:lang w:val="en-US" w:eastAsia="zh-CN"/>
                <w14:textFill>
                  <w14:solidFill>
                    <w14:schemeClr w14:val="tx1"/>
                  </w14:solidFill>
                </w14:textFill>
              </w:rPr>
            </w:pPr>
            <w:r>
              <w:rPr>
                <w:rFonts w:hint="default" w:ascii="Times New Roman" w:hAnsi="Times New Roman" w:eastAsia="微软雅黑" w:cs="Times New Roman"/>
                <w:color w:val="000000" w:themeColor="text1"/>
                <w:kern w:val="2"/>
                <w:sz w:val="15"/>
                <w:szCs w:val="15"/>
                <w:lang w:val="en-US" w:eastAsia="zh-CN"/>
                <w14:textFill>
                  <w14:solidFill>
                    <w14:schemeClr w14:val="tx1"/>
                  </w14:solidFill>
                </w14:textFill>
              </w:rPr>
              <w:t>202</w:t>
            </w:r>
            <w:r>
              <w:rPr>
                <w:rFonts w:hint="eastAsia" w:ascii="Times New Roman" w:hAnsi="Times New Roman" w:cs="Times New Roman"/>
                <w:color w:val="000000" w:themeColor="text1"/>
                <w:kern w:val="2"/>
                <w:sz w:val="15"/>
                <w:szCs w:val="15"/>
                <w:lang w:val="en-US" w:eastAsia="zh-CN"/>
                <w14:textFill>
                  <w14:solidFill>
                    <w14:schemeClr w14:val="tx1"/>
                  </w14:solidFill>
                </w14:textFill>
              </w:rPr>
              <w:t>6</w:t>
            </w:r>
            <w:r>
              <w:rPr>
                <w:rFonts w:hint="default" w:ascii="Times New Roman" w:hAnsi="Times New Roman" w:eastAsia="微软雅黑" w:cs="Times New Roman"/>
                <w:color w:val="000000" w:themeColor="text1"/>
                <w:kern w:val="2"/>
                <w:sz w:val="15"/>
                <w:szCs w:val="15"/>
                <w:lang w:val="en-US" w:eastAsia="zh-CN"/>
                <w14:textFill>
                  <w14:solidFill>
                    <w14:schemeClr w14:val="tx1"/>
                  </w14:solidFill>
                </w14:textFill>
              </w:rPr>
              <w:t>.</w:t>
            </w:r>
            <w:r>
              <w:rPr>
                <w:rFonts w:hint="default" w:ascii="Times New Roman" w:hAnsi="Times New Roman" w:cs="Times New Roman"/>
                <w:color w:val="000000" w:themeColor="text1"/>
                <w:kern w:val="2"/>
                <w:sz w:val="15"/>
                <w:szCs w:val="15"/>
                <w:lang w:val="en-US" w:eastAsia="zh-CN"/>
                <w14:textFill>
                  <w14:solidFill>
                    <w14:schemeClr w14:val="tx1"/>
                  </w14:solidFill>
                </w14:textFill>
              </w:rPr>
              <w:t>1.1</w:t>
            </w:r>
            <w:r>
              <w:rPr>
                <w:rFonts w:hint="eastAsia" w:ascii="Times New Roman" w:hAnsi="Times New Roman" w:cs="Times New Roman"/>
                <w:color w:val="000000" w:themeColor="text1"/>
                <w:kern w:val="2"/>
                <w:sz w:val="15"/>
                <w:szCs w:val="15"/>
                <w:lang w:val="en-US" w:eastAsia="zh-CN"/>
                <w14:textFill>
                  <w14:solidFill>
                    <w14:schemeClr w14:val="tx1"/>
                  </w14:solidFill>
                </w14:textFill>
              </w:rPr>
              <w:t>1</w:t>
            </w:r>
            <w:r>
              <w:rPr>
                <w:rFonts w:hint="default" w:ascii="Times New Roman" w:hAnsi="Times New Roman" w:eastAsia="微软雅黑" w:cs="Times New Roman"/>
                <w:color w:val="000000" w:themeColor="text1"/>
                <w:kern w:val="2"/>
                <w:sz w:val="15"/>
                <w:szCs w:val="15"/>
                <w:lang w:val="en-US" w:eastAsia="zh-CN"/>
                <w14:textFill>
                  <w14:solidFill>
                    <w14:schemeClr w14:val="tx1"/>
                  </w14:solidFill>
                </w14:textFill>
              </w:rPr>
              <w:t>：PVC保护膜13.</w:t>
            </w:r>
            <w:r>
              <w:rPr>
                <w:rFonts w:hint="eastAsia" w:ascii="Times New Roman" w:hAnsi="Times New Roman" w:cs="Times New Roman"/>
                <w:color w:val="000000" w:themeColor="text1"/>
                <w:kern w:val="2"/>
                <w:sz w:val="15"/>
                <w:szCs w:val="15"/>
                <w:lang w:val="en-US" w:eastAsia="zh-CN"/>
                <w14:textFill>
                  <w14:solidFill>
                    <w14:schemeClr w14:val="tx1"/>
                  </w14:solidFill>
                </w14:textFill>
              </w:rPr>
              <w:t>0</w:t>
            </w:r>
            <w:r>
              <w:rPr>
                <w:rFonts w:hint="default" w:ascii="Times New Roman" w:hAnsi="Times New Roman" w:eastAsia="微软雅黑" w:cs="Times New Roman"/>
                <w:color w:val="000000" w:themeColor="text1"/>
                <w:kern w:val="2"/>
                <w:sz w:val="15"/>
                <w:szCs w:val="15"/>
                <w:lang w:val="en-US" w:eastAsia="zh-CN"/>
                <w14:textFill>
                  <w14:solidFill>
                    <w14:schemeClr w14:val="tx1"/>
                  </w14:solidFill>
                </w14:textFill>
              </w:rPr>
              <w:t>万平方米</w:t>
            </w:r>
            <w:r>
              <w:rPr>
                <w:rFonts w:hint="eastAsia" w:ascii="Times New Roman" w:hAnsi="Times New Roman" w:cs="Times New Roman"/>
                <w:color w:val="000000" w:themeColor="text1"/>
                <w:kern w:val="2"/>
                <w:sz w:val="15"/>
                <w:szCs w:val="15"/>
                <w:lang w:val="en-US" w:eastAsia="zh-CN"/>
                <w14:textFill>
                  <w14:solidFill>
                    <w14:schemeClr w14:val="tx1"/>
                  </w14:solidFill>
                </w14:textFill>
              </w:rPr>
              <w:t>。</w:t>
            </w:r>
          </w:p>
        </w:tc>
      </w:tr>
      <w:tr w14:paraId="53C4BF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146" w:type="pct"/>
            <w:vMerge w:val="continue"/>
            <w:tcMar>
              <w:left w:w="57" w:type="dxa"/>
              <w:right w:w="57" w:type="dxa"/>
            </w:tcMar>
            <w:vAlign w:val="center"/>
          </w:tcPr>
          <w:p w14:paraId="73788ED2">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rPr>
            </w:pPr>
          </w:p>
        </w:tc>
        <w:tc>
          <w:tcPr>
            <w:tcW w:w="600" w:type="pct"/>
            <w:gridSpan w:val="2"/>
            <w:tcMar>
              <w:left w:w="57" w:type="dxa"/>
              <w:right w:w="57" w:type="dxa"/>
            </w:tcMar>
            <w:vAlign w:val="center"/>
          </w:tcPr>
          <w:p w14:paraId="1774A5F9">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投资总概算（万元）</w:t>
            </w:r>
          </w:p>
        </w:tc>
        <w:tc>
          <w:tcPr>
            <w:tcW w:w="1490" w:type="pct"/>
            <w:gridSpan w:val="5"/>
            <w:tcMar>
              <w:left w:w="57" w:type="dxa"/>
              <w:right w:w="57" w:type="dxa"/>
            </w:tcMar>
            <w:vAlign w:val="center"/>
          </w:tcPr>
          <w:p w14:paraId="3AF419B8">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b/>
                <w:color w:val="000000" w:themeColor="text1"/>
                <w:kern w:val="2"/>
                <w:sz w:val="15"/>
                <w:szCs w:val="15"/>
                <w:lang w:val="en-US" w:eastAsia="zh-CN"/>
                <w14:textFill>
                  <w14:solidFill>
                    <w14:schemeClr w14:val="tx1"/>
                  </w14:solidFill>
                </w14:textFill>
              </w:rPr>
            </w:pPr>
            <w:r>
              <w:rPr>
                <w:rFonts w:hint="eastAsia" w:ascii="微软雅黑" w:hAnsi="微软雅黑" w:cs="微软雅黑"/>
                <w:b w:val="0"/>
                <w:bCs/>
                <w:color w:val="000000" w:themeColor="text1"/>
                <w:kern w:val="2"/>
                <w:sz w:val="15"/>
                <w:szCs w:val="15"/>
                <w:lang w:val="en-US" w:eastAsia="zh-CN"/>
                <w14:textFill>
                  <w14:solidFill>
                    <w14:schemeClr w14:val="tx1"/>
                  </w14:solidFill>
                </w14:textFill>
              </w:rPr>
              <w:t>27000</w:t>
            </w:r>
          </w:p>
        </w:tc>
        <w:tc>
          <w:tcPr>
            <w:tcW w:w="525" w:type="pct"/>
            <w:tcMar>
              <w:left w:w="57" w:type="dxa"/>
              <w:right w:w="57" w:type="dxa"/>
            </w:tcMar>
            <w:vAlign w:val="center"/>
          </w:tcPr>
          <w:p w14:paraId="14A8394F">
            <w:pPr>
              <w:keepNext w:val="0"/>
              <w:keepLines w:val="0"/>
              <w:pageBreakBefore w:val="0"/>
              <w:tabs>
                <w:tab w:val="left" w:pos="690"/>
              </w:tabs>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环保投资总概算（万元）</w:t>
            </w:r>
          </w:p>
        </w:tc>
        <w:tc>
          <w:tcPr>
            <w:tcW w:w="622" w:type="pct"/>
            <w:gridSpan w:val="2"/>
            <w:tcMar>
              <w:left w:w="57" w:type="dxa"/>
              <w:right w:w="57" w:type="dxa"/>
            </w:tcMar>
            <w:vAlign w:val="center"/>
          </w:tcPr>
          <w:p w14:paraId="768C3F94">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b/>
                <w:color w:val="000000" w:themeColor="text1"/>
                <w:kern w:val="2"/>
                <w:sz w:val="15"/>
                <w:szCs w:val="15"/>
                <w:lang w:val="en-US" w:eastAsia="zh-CN"/>
                <w14:textFill>
                  <w14:solidFill>
                    <w14:schemeClr w14:val="tx1"/>
                  </w14:solidFill>
                </w14:textFill>
              </w:rPr>
            </w:pPr>
            <w:r>
              <w:rPr>
                <w:rFonts w:hint="eastAsia" w:ascii="微软雅黑" w:hAnsi="微软雅黑" w:cs="微软雅黑"/>
                <w:color w:val="000000" w:themeColor="text1"/>
                <w:kern w:val="2"/>
                <w:sz w:val="15"/>
                <w:szCs w:val="15"/>
                <w:lang w:val="en-US" w:eastAsia="zh-CN"/>
                <w14:textFill>
                  <w14:solidFill>
                    <w14:schemeClr w14:val="tx1"/>
                  </w14:solidFill>
                </w14:textFill>
              </w:rPr>
              <w:t>79</w:t>
            </w:r>
          </w:p>
        </w:tc>
        <w:tc>
          <w:tcPr>
            <w:tcW w:w="528" w:type="pct"/>
            <w:gridSpan w:val="2"/>
            <w:tcMar>
              <w:left w:w="57" w:type="dxa"/>
              <w:right w:w="57" w:type="dxa"/>
            </w:tcMar>
            <w:vAlign w:val="center"/>
          </w:tcPr>
          <w:p w14:paraId="02C1D734">
            <w:pPr>
              <w:keepNext w:val="0"/>
              <w:keepLines w:val="0"/>
              <w:pageBreakBefore w:val="0"/>
              <w:tabs>
                <w:tab w:val="left" w:pos="690"/>
              </w:tabs>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所占比例（%）</w:t>
            </w:r>
          </w:p>
        </w:tc>
        <w:tc>
          <w:tcPr>
            <w:tcW w:w="1086" w:type="pct"/>
            <w:gridSpan w:val="4"/>
            <w:tcMar>
              <w:left w:w="57" w:type="dxa"/>
              <w:right w:w="57" w:type="dxa"/>
            </w:tcMar>
            <w:vAlign w:val="center"/>
          </w:tcPr>
          <w:p w14:paraId="051F9E7E">
            <w:pPr>
              <w:keepNext w:val="0"/>
              <w:keepLines w:val="0"/>
              <w:pageBreakBefore w:val="0"/>
              <w:tabs>
                <w:tab w:val="left" w:pos="690"/>
              </w:tabs>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cs="微软雅黑"/>
                <w:color w:val="000000" w:themeColor="text1"/>
                <w:kern w:val="2"/>
                <w:sz w:val="15"/>
                <w:szCs w:val="15"/>
                <w:lang w:val="en-US" w:eastAsia="zh-CN"/>
                <w14:textFill>
                  <w14:solidFill>
                    <w14:schemeClr w14:val="tx1"/>
                  </w14:solidFill>
                </w14:textFill>
              </w:rPr>
              <w:t>0.29</w:t>
            </w:r>
          </w:p>
        </w:tc>
      </w:tr>
      <w:tr w14:paraId="321A42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146" w:type="pct"/>
            <w:vMerge w:val="continue"/>
            <w:tcMar>
              <w:left w:w="57" w:type="dxa"/>
              <w:right w:w="57" w:type="dxa"/>
            </w:tcMar>
            <w:vAlign w:val="center"/>
          </w:tcPr>
          <w:p w14:paraId="1EE3449F">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rPr>
            </w:pPr>
          </w:p>
        </w:tc>
        <w:tc>
          <w:tcPr>
            <w:tcW w:w="600" w:type="pct"/>
            <w:gridSpan w:val="2"/>
            <w:tcMar>
              <w:left w:w="57" w:type="dxa"/>
              <w:right w:w="57" w:type="dxa"/>
            </w:tcMar>
            <w:vAlign w:val="top"/>
          </w:tcPr>
          <w:p w14:paraId="67A88B59">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实际总投资（万元）</w:t>
            </w:r>
          </w:p>
        </w:tc>
        <w:tc>
          <w:tcPr>
            <w:tcW w:w="1490" w:type="pct"/>
            <w:gridSpan w:val="5"/>
            <w:tcMar>
              <w:left w:w="57" w:type="dxa"/>
              <w:right w:w="57" w:type="dxa"/>
            </w:tcMar>
            <w:vAlign w:val="center"/>
          </w:tcPr>
          <w:p w14:paraId="02BF8631">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b w:val="0"/>
                <w:bCs/>
                <w:color w:val="auto"/>
                <w:kern w:val="2"/>
                <w:sz w:val="15"/>
                <w:szCs w:val="15"/>
                <w:lang w:val="en-US" w:eastAsia="zh-CN"/>
              </w:rPr>
              <w:t>1800</w:t>
            </w:r>
          </w:p>
        </w:tc>
        <w:tc>
          <w:tcPr>
            <w:tcW w:w="525" w:type="pct"/>
            <w:tcMar>
              <w:left w:w="57" w:type="dxa"/>
              <w:right w:w="57" w:type="dxa"/>
            </w:tcMar>
            <w:vAlign w:val="center"/>
          </w:tcPr>
          <w:p w14:paraId="77CAC712">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实际环保投资（万元）</w:t>
            </w:r>
          </w:p>
        </w:tc>
        <w:tc>
          <w:tcPr>
            <w:tcW w:w="622" w:type="pct"/>
            <w:gridSpan w:val="2"/>
            <w:tcMar>
              <w:left w:w="57" w:type="dxa"/>
              <w:right w:w="57" w:type="dxa"/>
            </w:tcMar>
            <w:vAlign w:val="center"/>
          </w:tcPr>
          <w:p w14:paraId="0246BF94">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54</w:t>
            </w:r>
          </w:p>
        </w:tc>
        <w:tc>
          <w:tcPr>
            <w:tcW w:w="528" w:type="pct"/>
            <w:gridSpan w:val="2"/>
            <w:tcMar>
              <w:left w:w="57" w:type="dxa"/>
              <w:right w:w="57" w:type="dxa"/>
            </w:tcMar>
            <w:vAlign w:val="center"/>
          </w:tcPr>
          <w:p w14:paraId="504D8EB2">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所占比例（%）</w:t>
            </w:r>
          </w:p>
        </w:tc>
        <w:tc>
          <w:tcPr>
            <w:tcW w:w="1086" w:type="pct"/>
            <w:gridSpan w:val="4"/>
            <w:tcMar>
              <w:left w:w="57" w:type="dxa"/>
              <w:right w:w="57" w:type="dxa"/>
            </w:tcMar>
            <w:vAlign w:val="center"/>
          </w:tcPr>
          <w:p w14:paraId="28CE2FC5">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3</w:t>
            </w:r>
          </w:p>
        </w:tc>
      </w:tr>
      <w:tr w14:paraId="292178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146" w:type="pct"/>
            <w:vMerge w:val="continue"/>
            <w:tcMar>
              <w:left w:w="57" w:type="dxa"/>
              <w:right w:w="57" w:type="dxa"/>
            </w:tcMar>
            <w:vAlign w:val="center"/>
          </w:tcPr>
          <w:p w14:paraId="75B94A57">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rPr>
            </w:pPr>
          </w:p>
        </w:tc>
        <w:tc>
          <w:tcPr>
            <w:tcW w:w="600" w:type="pct"/>
            <w:gridSpan w:val="2"/>
            <w:tcMar>
              <w:left w:w="57" w:type="dxa"/>
              <w:right w:w="57" w:type="dxa"/>
            </w:tcMar>
            <w:vAlign w:val="center"/>
          </w:tcPr>
          <w:p w14:paraId="1860DE60">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auto"/>
                <w:kern w:val="2"/>
                <w:sz w:val="15"/>
                <w:szCs w:val="15"/>
              </w:rPr>
            </w:pPr>
            <w:r>
              <w:rPr>
                <w:rFonts w:hint="eastAsia" w:ascii="微软雅黑" w:hAnsi="微软雅黑" w:eastAsia="微软雅黑" w:cs="微软雅黑"/>
                <w:b/>
                <w:color w:val="auto"/>
                <w:kern w:val="2"/>
                <w:sz w:val="15"/>
                <w:szCs w:val="15"/>
              </w:rPr>
              <w:t>废水治理（万元）</w:t>
            </w:r>
          </w:p>
        </w:tc>
        <w:tc>
          <w:tcPr>
            <w:tcW w:w="208" w:type="pct"/>
            <w:tcMar>
              <w:left w:w="57" w:type="dxa"/>
              <w:right w:w="57" w:type="dxa"/>
            </w:tcMar>
            <w:vAlign w:val="center"/>
          </w:tcPr>
          <w:p w14:paraId="4E249B56">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2</w:t>
            </w:r>
          </w:p>
        </w:tc>
        <w:tc>
          <w:tcPr>
            <w:tcW w:w="389" w:type="pct"/>
            <w:tcMar>
              <w:left w:w="57" w:type="dxa"/>
              <w:right w:w="57" w:type="dxa"/>
            </w:tcMar>
            <w:vAlign w:val="center"/>
          </w:tcPr>
          <w:p w14:paraId="7EA25261">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废气治理（万元）</w:t>
            </w:r>
          </w:p>
        </w:tc>
        <w:tc>
          <w:tcPr>
            <w:tcW w:w="252" w:type="pct"/>
            <w:tcMar>
              <w:left w:w="57" w:type="dxa"/>
              <w:right w:w="57" w:type="dxa"/>
            </w:tcMar>
            <w:vAlign w:val="center"/>
          </w:tcPr>
          <w:p w14:paraId="4D371A1F">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38</w:t>
            </w:r>
          </w:p>
        </w:tc>
        <w:tc>
          <w:tcPr>
            <w:tcW w:w="320" w:type="pct"/>
            <w:tcMar>
              <w:left w:w="57" w:type="dxa"/>
              <w:right w:w="57" w:type="dxa"/>
            </w:tcMar>
            <w:vAlign w:val="center"/>
          </w:tcPr>
          <w:p w14:paraId="603A2D1D">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噪声治理</w:t>
            </w:r>
          </w:p>
          <w:p w14:paraId="0254AEA4">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（万元）</w:t>
            </w:r>
          </w:p>
        </w:tc>
        <w:tc>
          <w:tcPr>
            <w:tcW w:w="318" w:type="pct"/>
            <w:tcMar>
              <w:left w:w="57" w:type="dxa"/>
              <w:right w:w="57" w:type="dxa"/>
            </w:tcMar>
            <w:vAlign w:val="center"/>
          </w:tcPr>
          <w:p w14:paraId="16B5B927">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2</w:t>
            </w:r>
          </w:p>
        </w:tc>
        <w:tc>
          <w:tcPr>
            <w:tcW w:w="525" w:type="pct"/>
            <w:tcMar>
              <w:left w:w="57" w:type="dxa"/>
              <w:right w:w="57" w:type="dxa"/>
            </w:tcMar>
            <w:vAlign w:val="center"/>
          </w:tcPr>
          <w:p w14:paraId="3782D7AD">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auto"/>
                <w:kern w:val="2"/>
                <w:sz w:val="15"/>
                <w:szCs w:val="15"/>
              </w:rPr>
            </w:pPr>
            <w:r>
              <w:rPr>
                <w:rFonts w:hint="eastAsia" w:ascii="微软雅黑" w:hAnsi="微软雅黑" w:eastAsia="微软雅黑" w:cs="微软雅黑"/>
                <w:b/>
                <w:color w:val="auto"/>
                <w:kern w:val="2"/>
                <w:sz w:val="15"/>
                <w:szCs w:val="15"/>
              </w:rPr>
              <w:t>固体废物治理（万元）</w:t>
            </w:r>
          </w:p>
        </w:tc>
        <w:tc>
          <w:tcPr>
            <w:tcW w:w="622" w:type="pct"/>
            <w:gridSpan w:val="2"/>
            <w:tcMar>
              <w:left w:w="57" w:type="dxa"/>
              <w:right w:w="57" w:type="dxa"/>
            </w:tcMar>
            <w:vAlign w:val="center"/>
          </w:tcPr>
          <w:p w14:paraId="51E52F04">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5</w:t>
            </w:r>
          </w:p>
        </w:tc>
        <w:tc>
          <w:tcPr>
            <w:tcW w:w="528" w:type="pct"/>
            <w:gridSpan w:val="2"/>
            <w:tcMar>
              <w:left w:w="57" w:type="dxa"/>
              <w:right w:w="57" w:type="dxa"/>
            </w:tcMar>
            <w:vAlign w:val="center"/>
          </w:tcPr>
          <w:p w14:paraId="2F759084">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绿化及生态</w:t>
            </w:r>
          </w:p>
          <w:p w14:paraId="1B2C204F">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（万元）</w:t>
            </w:r>
          </w:p>
        </w:tc>
        <w:tc>
          <w:tcPr>
            <w:tcW w:w="328" w:type="pct"/>
            <w:gridSpan w:val="2"/>
            <w:tcMar>
              <w:left w:w="57" w:type="dxa"/>
              <w:right w:w="57" w:type="dxa"/>
            </w:tcMar>
            <w:vAlign w:val="center"/>
          </w:tcPr>
          <w:p w14:paraId="0ADEEEAF">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0</w:t>
            </w:r>
          </w:p>
        </w:tc>
        <w:tc>
          <w:tcPr>
            <w:tcW w:w="356" w:type="pct"/>
            <w:tcMar>
              <w:left w:w="57" w:type="dxa"/>
              <w:right w:w="57" w:type="dxa"/>
            </w:tcMar>
            <w:vAlign w:val="center"/>
          </w:tcPr>
          <w:p w14:paraId="09722C5E">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其他（万元）</w:t>
            </w:r>
          </w:p>
        </w:tc>
        <w:tc>
          <w:tcPr>
            <w:tcW w:w="401" w:type="pct"/>
            <w:tcMar>
              <w:left w:w="57" w:type="dxa"/>
              <w:right w:w="57" w:type="dxa"/>
            </w:tcMar>
            <w:vAlign w:val="center"/>
          </w:tcPr>
          <w:p w14:paraId="2020E19C">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7</w:t>
            </w:r>
          </w:p>
        </w:tc>
      </w:tr>
      <w:tr w14:paraId="0A8F5F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146" w:type="pct"/>
            <w:vMerge w:val="continue"/>
            <w:tcMar>
              <w:left w:w="57" w:type="dxa"/>
              <w:right w:w="57" w:type="dxa"/>
            </w:tcMar>
            <w:vAlign w:val="center"/>
          </w:tcPr>
          <w:p w14:paraId="7412A380">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rPr>
            </w:pPr>
          </w:p>
        </w:tc>
        <w:tc>
          <w:tcPr>
            <w:tcW w:w="600" w:type="pct"/>
            <w:gridSpan w:val="2"/>
            <w:tcMar>
              <w:left w:w="57" w:type="dxa"/>
              <w:right w:w="57" w:type="dxa"/>
            </w:tcMar>
            <w:vAlign w:val="center"/>
          </w:tcPr>
          <w:p w14:paraId="6666E41C">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新增废水处理设施能力</w:t>
            </w:r>
          </w:p>
        </w:tc>
        <w:tc>
          <w:tcPr>
            <w:tcW w:w="1490" w:type="pct"/>
            <w:gridSpan w:val="5"/>
            <w:tcMar>
              <w:left w:w="57" w:type="dxa"/>
              <w:right w:w="57" w:type="dxa"/>
            </w:tcMar>
            <w:vAlign w:val="center"/>
          </w:tcPr>
          <w:p w14:paraId="19A930B1">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cs="微软雅黑"/>
                <w:color w:val="000000" w:themeColor="text1"/>
                <w:kern w:val="2"/>
                <w:sz w:val="15"/>
                <w:szCs w:val="15"/>
                <w:lang w:val="en-US" w:eastAsia="zh-CN"/>
                <w14:textFill>
                  <w14:solidFill>
                    <w14:schemeClr w14:val="tx1"/>
                  </w14:solidFill>
                </w14:textFill>
              </w:rPr>
              <w:t>-</w:t>
            </w:r>
          </w:p>
        </w:tc>
        <w:tc>
          <w:tcPr>
            <w:tcW w:w="525" w:type="pct"/>
            <w:tcMar>
              <w:left w:w="57" w:type="dxa"/>
              <w:right w:w="57" w:type="dxa"/>
            </w:tcMar>
            <w:vAlign w:val="center"/>
          </w:tcPr>
          <w:p w14:paraId="2DCC34E5">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新增废气处理设施能力</w:t>
            </w:r>
          </w:p>
        </w:tc>
        <w:tc>
          <w:tcPr>
            <w:tcW w:w="622" w:type="pct"/>
            <w:gridSpan w:val="2"/>
            <w:tcMar>
              <w:left w:w="57" w:type="dxa"/>
              <w:right w:w="57" w:type="dxa"/>
            </w:tcMar>
            <w:vAlign w:val="center"/>
          </w:tcPr>
          <w:p w14:paraId="6E62035C">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528" w:type="pct"/>
            <w:gridSpan w:val="2"/>
            <w:tcMar>
              <w:left w:w="57" w:type="dxa"/>
              <w:right w:w="57" w:type="dxa"/>
            </w:tcMar>
            <w:vAlign w:val="center"/>
          </w:tcPr>
          <w:p w14:paraId="7D8DAF66">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年平均工作时</w:t>
            </w:r>
          </w:p>
        </w:tc>
        <w:tc>
          <w:tcPr>
            <w:tcW w:w="1086" w:type="pct"/>
            <w:gridSpan w:val="4"/>
            <w:tcMar>
              <w:left w:w="57" w:type="dxa"/>
              <w:right w:w="57" w:type="dxa"/>
            </w:tcMar>
            <w:vAlign w:val="center"/>
          </w:tcPr>
          <w:p w14:paraId="36F54D2B">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300d</w:t>
            </w:r>
          </w:p>
        </w:tc>
      </w:tr>
      <w:tr w14:paraId="4A1B07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46" w:type="pct"/>
            <w:gridSpan w:val="3"/>
            <w:tcMar>
              <w:left w:w="57" w:type="dxa"/>
              <w:right w:w="57" w:type="dxa"/>
            </w:tcMar>
            <w:vAlign w:val="center"/>
          </w:tcPr>
          <w:p w14:paraId="602E292C">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运营单位</w:t>
            </w:r>
          </w:p>
        </w:tc>
        <w:tc>
          <w:tcPr>
            <w:tcW w:w="851" w:type="pct"/>
            <w:gridSpan w:val="3"/>
            <w:tcMar>
              <w:left w:w="57" w:type="dxa"/>
              <w:right w:w="57" w:type="dxa"/>
            </w:tcMar>
            <w:vAlign w:val="center"/>
          </w:tcPr>
          <w:p w14:paraId="5AD98F28">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cs="微软雅黑"/>
                <w:color w:val="000000" w:themeColor="text1"/>
                <w:kern w:val="2"/>
                <w:sz w:val="15"/>
                <w:szCs w:val="15"/>
                <w:lang w:val="en-US" w:eastAsia="zh-CN"/>
                <w14:textFill>
                  <w14:solidFill>
                    <w14:schemeClr w14:val="tx1"/>
                  </w14:solidFill>
                </w14:textFill>
              </w:rPr>
              <w:t>黄山市航瑞新材料有限公司</w:t>
            </w:r>
          </w:p>
        </w:tc>
        <w:tc>
          <w:tcPr>
            <w:tcW w:w="1165" w:type="pct"/>
            <w:gridSpan w:val="3"/>
            <w:tcMar>
              <w:left w:w="57" w:type="dxa"/>
              <w:right w:w="57" w:type="dxa"/>
            </w:tcMar>
            <w:vAlign w:val="center"/>
          </w:tcPr>
          <w:p w14:paraId="613D132A">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运营单位社会统一信用代码（或组织机构代码）</w:t>
            </w:r>
          </w:p>
        </w:tc>
        <w:tc>
          <w:tcPr>
            <w:tcW w:w="622" w:type="pct"/>
            <w:gridSpan w:val="2"/>
            <w:tcMar>
              <w:left w:w="57" w:type="dxa"/>
              <w:right w:w="57" w:type="dxa"/>
            </w:tcMar>
            <w:vAlign w:val="center"/>
          </w:tcPr>
          <w:p w14:paraId="323088D1">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lang w:val="en-US"/>
                <w14:textFill>
                  <w14:solidFill>
                    <w14:schemeClr w14:val="tx1"/>
                  </w14:solidFill>
                </w14:textFill>
              </w:rPr>
            </w:pPr>
            <w:r>
              <w:rPr>
                <w:rFonts w:hint="eastAsia" w:ascii="微软雅黑" w:hAnsi="微软雅黑" w:eastAsia="微软雅黑" w:cs="微软雅黑"/>
                <w:b w:val="0"/>
                <w:bCs/>
                <w:color w:val="000000" w:themeColor="text1"/>
                <w:kern w:val="2"/>
                <w:sz w:val="15"/>
                <w:szCs w:val="15"/>
                <w:lang w:val="en-US"/>
                <w14:textFill>
                  <w14:solidFill>
                    <w14:schemeClr w14:val="tx1"/>
                  </w14:solidFill>
                </w14:textFill>
              </w:rPr>
              <w:t>9134102</w:t>
            </w:r>
            <w:r>
              <w:rPr>
                <w:rFonts w:hint="eastAsia" w:ascii="微软雅黑" w:hAnsi="微软雅黑" w:cs="微软雅黑"/>
                <w:b w:val="0"/>
                <w:bCs/>
                <w:color w:val="000000" w:themeColor="text1"/>
                <w:kern w:val="2"/>
                <w:sz w:val="15"/>
                <w:szCs w:val="15"/>
                <w:lang w:val="en-US" w:eastAsia="zh-CN"/>
                <w14:textFill>
                  <w14:solidFill>
                    <w14:schemeClr w14:val="tx1"/>
                  </w14:solidFill>
                </w14:textFill>
              </w:rPr>
              <w:t>1</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MA</w:t>
            </w:r>
            <w:r>
              <w:rPr>
                <w:rFonts w:hint="eastAsia" w:ascii="微软雅黑" w:hAnsi="微软雅黑" w:cs="微软雅黑"/>
                <w:color w:val="000000" w:themeColor="text1"/>
                <w:kern w:val="2"/>
                <w:sz w:val="15"/>
                <w:szCs w:val="15"/>
                <w:lang w:val="en-US" w:eastAsia="zh-CN"/>
                <w14:textFill>
                  <w14:solidFill>
                    <w14:schemeClr w14:val="tx1"/>
                  </w14:solidFill>
                </w14:textFill>
              </w:rPr>
              <w:t>2WGQBL</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X0</w:t>
            </w:r>
          </w:p>
        </w:tc>
        <w:tc>
          <w:tcPr>
            <w:tcW w:w="528" w:type="pct"/>
            <w:gridSpan w:val="2"/>
            <w:tcMar>
              <w:left w:w="57" w:type="dxa"/>
              <w:right w:w="57" w:type="dxa"/>
            </w:tcMar>
            <w:vAlign w:val="center"/>
          </w:tcPr>
          <w:p w14:paraId="1CBB1912">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FF0000"/>
                <w:kern w:val="2"/>
                <w:sz w:val="15"/>
                <w:szCs w:val="15"/>
              </w:rPr>
            </w:pPr>
            <w:r>
              <w:rPr>
                <w:rFonts w:hint="eastAsia" w:ascii="微软雅黑" w:hAnsi="微软雅黑" w:eastAsia="微软雅黑" w:cs="微软雅黑"/>
                <w:b/>
                <w:color w:val="000000" w:themeColor="text1"/>
                <w:kern w:val="2"/>
                <w:sz w:val="15"/>
                <w:szCs w:val="15"/>
                <w14:textFill>
                  <w14:solidFill>
                    <w14:schemeClr w14:val="tx1"/>
                  </w14:solidFill>
                </w14:textFill>
              </w:rPr>
              <w:t>验收时间</w:t>
            </w:r>
          </w:p>
        </w:tc>
        <w:tc>
          <w:tcPr>
            <w:tcW w:w="1086" w:type="pct"/>
            <w:gridSpan w:val="4"/>
            <w:tcMar>
              <w:left w:w="57" w:type="dxa"/>
              <w:right w:w="57" w:type="dxa"/>
            </w:tcMar>
            <w:vAlign w:val="center"/>
          </w:tcPr>
          <w:p w14:paraId="0C761C10">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FF0000"/>
                <w:kern w:val="2"/>
                <w:sz w:val="15"/>
                <w:szCs w:val="15"/>
                <w:lang w:val="en-US" w:eastAsia="zh-CN"/>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202</w:t>
            </w:r>
            <w:r>
              <w:rPr>
                <w:rFonts w:hint="eastAsia" w:ascii="微软雅黑" w:hAnsi="微软雅黑" w:cs="微软雅黑"/>
                <w:color w:val="000000" w:themeColor="text1"/>
                <w:kern w:val="2"/>
                <w:sz w:val="15"/>
                <w:szCs w:val="15"/>
                <w:lang w:val="en-US" w:eastAsia="zh-CN"/>
                <w14:textFill>
                  <w14:solidFill>
                    <w14:schemeClr w14:val="tx1"/>
                  </w14:solidFill>
                </w14:textFill>
              </w:rPr>
              <w:t>6</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年</w:t>
            </w:r>
            <w:r>
              <w:rPr>
                <w:rFonts w:hint="eastAsia" w:ascii="微软雅黑" w:hAnsi="微软雅黑" w:cs="微软雅黑"/>
                <w:color w:val="000000" w:themeColor="text1"/>
                <w:kern w:val="2"/>
                <w:sz w:val="15"/>
                <w:szCs w:val="15"/>
                <w:lang w:val="en-US" w:eastAsia="zh-CN"/>
                <w14:textFill>
                  <w14:solidFill>
                    <w14:schemeClr w14:val="tx1"/>
                  </w14:solidFill>
                </w14:textFill>
              </w:rPr>
              <w:t>3</w:t>
            </w: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月</w:t>
            </w:r>
          </w:p>
        </w:tc>
      </w:tr>
      <w:tr w14:paraId="3B92BA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40" w:type="pct"/>
            <w:gridSpan w:val="2"/>
            <w:vMerge w:val="restart"/>
            <w:tcMar>
              <w:left w:w="57" w:type="dxa"/>
              <w:right w:w="57" w:type="dxa"/>
            </w:tcMar>
            <w:vAlign w:val="center"/>
          </w:tcPr>
          <w:p w14:paraId="0447AD7A">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污染物排放达标与总量控制（工业建设项目详填）</w:t>
            </w:r>
          </w:p>
        </w:tc>
        <w:tc>
          <w:tcPr>
            <w:tcW w:w="505" w:type="pct"/>
            <w:tcMar>
              <w:left w:w="57" w:type="dxa"/>
              <w:right w:w="57" w:type="dxa"/>
            </w:tcMar>
            <w:vAlign w:val="center"/>
          </w:tcPr>
          <w:p w14:paraId="14F3C749">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污染物</w:t>
            </w:r>
          </w:p>
        </w:tc>
        <w:tc>
          <w:tcPr>
            <w:tcW w:w="208" w:type="pct"/>
            <w:tcMar>
              <w:left w:w="57" w:type="dxa"/>
              <w:right w:w="57" w:type="dxa"/>
            </w:tcMar>
            <w:vAlign w:val="center"/>
          </w:tcPr>
          <w:p w14:paraId="4A23203C">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原有排</w:t>
            </w:r>
          </w:p>
          <w:p w14:paraId="338A3401">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放量(1)</w:t>
            </w:r>
          </w:p>
        </w:tc>
        <w:tc>
          <w:tcPr>
            <w:tcW w:w="389" w:type="pct"/>
            <w:tcMar>
              <w:left w:w="57" w:type="dxa"/>
              <w:right w:w="57" w:type="dxa"/>
            </w:tcMar>
            <w:vAlign w:val="center"/>
          </w:tcPr>
          <w:p w14:paraId="72DFEA2D">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本期工程实际排放浓度(2)</w:t>
            </w:r>
          </w:p>
        </w:tc>
        <w:tc>
          <w:tcPr>
            <w:tcW w:w="252" w:type="pct"/>
            <w:tcMar>
              <w:left w:w="57" w:type="dxa"/>
              <w:right w:w="57" w:type="dxa"/>
            </w:tcMar>
            <w:vAlign w:val="center"/>
          </w:tcPr>
          <w:p w14:paraId="226E3FAE">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本期工程允许排放浓度(3)</w:t>
            </w:r>
          </w:p>
        </w:tc>
        <w:tc>
          <w:tcPr>
            <w:tcW w:w="320" w:type="pct"/>
            <w:tcMar>
              <w:left w:w="57" w:type="dxa"/>
              <w:right w:w="57" w:type="dxa"/>
            </w:tcMar>
            <w:vAlign w:val="center"/>
          </w:tcPr>
          <w:p w14:paraId="7202F7BD">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本期工程产生量(4)</w:t>
            </w:r>
          </w:p>
        </w:tc>
        <w:tc>
          <w:tcPr>
            <w:tcW w:w="318" w:type="pct"/>
            <w:tcMar>
              <w:left w:w="57" w:type="dxa"/>
              <w:right w:w="57" w:type="dxa"/>
            </w:tcMar>
            <w:vAlign w:val="center"/>
          </w:tcPr>
          <w:p w14:paraId="50440590">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本期工程自身削减量(5)</w:t>
            </w:r>
          </w:p>
        </w:tc>
        <w:tc>
          <w:tcPr>
            <w:tcW w:w="525" w:type="pct"/>
            <w:tcMar>
              <w:left w:w="57" w:type="dxa"/>
              <w:right w:w="57" w:type="dxa"/>
            </w:tcMar>
            <w:vAlign w:val="center"/>
          </w:tcPr>
          <w:p w14:paraId="3F90C16A">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highlight w:val="none"/>
              </w:rPr>
              <w:t>本期工程实际排放量(6)</w:t>
            </w:r>
          </w:p>
        </w:tc>
        <w:tc>
          <w:tcPr>
            <w:tcW w:w="393" w:type="pct"/>
            <w:tcMar>
              <w:left w:w="57" w:type="dxa"/>
              <w:right w:w="57" w:type="dxa"/>
            </w:tcMar>
            <w:vAlign w:val="center"/>
          </w:tcPr>
          <w:p w14:paraId="70BD4F4F">
            <w:pPr>
              <w:keepNext w:val="0"/>
              <w:keepLines w:val="0"/>
              <w:pageBreakBefore w:val="0"/>
              <w:widowControl/>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本期工程核定排放总量(7)</w:t>
            </w:r>
          </w:p>
        </w:tc>
        <w:tc>
          <w:tcPr>
            <w:tcW w:w="399" w:type="pct"/>
            <w:gridSpan w:val="2"/>
            <w:tcMar>
              <w:left w:w="57" w:type="dxa"/>
              <w:right w:w="57" w:type="dxa"/>
            </w:tcMar>
            <w:vAlign w:val="center"/>
          </w:tcPr>
          <w:p w14:paraId="5283EB82">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本期工程“以新带老”削减量(8)</w:t>
            </w:r>
          </w:p>
        </w:tc>
        <w:tc>
          <w:tcPr>
            <w:tcW w:w="399" w:type="pct"/>
            <w:gridSpan w:val="2"/>
            <w:tcMar>
              <w:left w:w="57" w:type="dxa"/>
              <w:right w:w="57" w:type="dxa"/>
            </w:tcMar>
            <w:vAlign w:val="center"/>
          </w:tcPr>
          <w:p w14:paraId="2CB04AFF">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FF0000"/>
                <w:kern w:val="2"/>
                <w:sz w:val="15"/>
                <w:szCs w:val="15"/>
              </w:rPr>
            </w:pPr>
            <w:r>
              <w:rPr>
                <w:rFonts w:hint="eastAsia" w:ascii="微软雅黑" w:hAnsi="微软雅黑" w:eastAsia="微软雅黑" w:cs="微软雅黑"/>
                <w:b/>
                <w:color w:val="auto"/>
                <w:kern w:val="2"/>
                <w:sz w:val="15"/>
                <w:szCs w:val="15"/>
                <w:highlight w:val="none"/>
              </w:rPr>
              <w:t>全厂实际排放总量(9)</w:t>
            </w:r>
          </w:p>
        </w:tc>
        <w:tc>
          <w:tcPr>
            <w:tcW w:w="287" w:type="pct"/>
            <w:tcMar>
              <w:left w:w="57" w:type="dxa"/>
              <w:right w:w="57" w:type="dxa"/>
            </w:tcMar>
            <w:vAlign w:val="center"/>
          </w:tcPr>
          <w:p w14:paraId="65145B7E">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auto"/>
                <w:kern w:val="2"/>
                <w:sz w:val="15"/>
                <w:szCs w:val="15"/>
              </w:rPr>
            </w:pPr>
            <w:r>
              <w:rPr>
                <w:rFonts w:hint="eastAsia" w:ascii="微软雅黑" w:hAnsi="微软雅黑" w:eastAsia="微软雅黑" w:cs="微软雅黑"/>
                <w:b/>
                <w:color w:val="auto"/>
                <w:kern w:val="2"/>
                <w:sz w:val="15"/>
                <w:szCs w:val="15"/>
              </w:rPr>
              <w:t>全厂核定排放总量(10)</w:t>
            </w:r>
          </w:p>
        </w:tc>
        <w:tc>
          <w:tcPr>
            <w:tcW w:w="356" w:type="pct"/>
            <w:tcMar>
              <w:left w:w="57" w:type="dxa"/>
              <w:right w:w="57" w:type="dxa"/>
            </w:tcMar>
            <w:vAlign w:val="center"/>
          </w:tcPr>
          <w:p w14:paraId="66666013">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区域平衡替代削减量(11)</w:t>
            </w:r>
          </w:p>
        </w:tc>
        <w:tc>
          <w:tcPr>
            <w:tcW w:w="401" w:type="pct"/>
            <w:tcMar>
              <w:left w:w="57" w:type="dxa"/>
              <w:right w:w="57" w:type="dxa"/>
            </w:tcMar>
            <w:vAlign w:val="center"/>
          </w:tcPr>
          <w:p w14:paraId="6ECFF513">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FF0000"/>
                <w:kern w:val="2"/>
                <w:sz w:val="15"/>
                <w:szCs w:val="15"/>
              </w:rPr>
            </w:pPr>
            <w:r>
              <w:rPr>
                <w:rFonts w:hint="eastAsia" w:ascii="微软雅黑" w:hAnsi="微软雅黑" w:eastAsia="微软雅黑" w:cs="微软雅黑"/>
                <w:b/>
                <w:color w:val="auto"/>
                <w:kern w:val="2"/>
                <w:sz w:val="15"/>
                <w:szCs w:val="15"/>
              </w:rPr>
              <w:t>排放增减量(12)</w:t>
            </w:r>
          </w:p>
        </w:tc>
      </w:tr>
      <w:tr w14:paraId="1F37C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40" w:type="pct"/>
            <w:gridSpan w:val="2"/>
            <w:vMerge w:val="continue"/>
            <w:tcMar>
              <w:left w:w="57" w:type="dxa"/>
              <w:right w:w="57" w:type="dxa"/>
            </w:tcMar>
            <w:vAlign w:val="center"/>
          </w:tcPr>
          <w:p w14:paraId="61DC349F">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eastAsia="zh-CN"/>
                <w14:textFill>
                  <w14:solidFill>
                    <w14:schemeClr w14:val="tx1"/>
                  </w14:solidFill>
                </w14:textFill>
              </w:rPr>
            </w:pPr>
          </w:p>
        </w:tc>
        <w:tc>
          <w:tcPr>
            <w:tcW w:w="505" w:type="pct"/>
            <w:tcMar>
              <w:left w:w="57" w:type="dxa"/>
              <w:right w:w="57" w:type="dxa"/>
            </w:tcMar>
            <w:vAlign w:val="center"/>
          </w:tcPr>
          <w:p w14:paraId="691A6FAC">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废水</w:t>
            </w:r>
          </w:p>
        </w:tc>
        <w:tc>
          <w:tcPr>
            <w:tcW w:w="208" w:type="pct"/>
            <w:tcMar>
              <w:left w:w="57" w:type="dxa"/>
              <w:right w:w="57" w:type="dxa"/>
            </w:tcMar>
            <w:vAlign w:val="center"/>
          </w:tcPr>
          <w:p w14:paraId="55062F00">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color w:val="000000" w:themeColor="text1"/>
                <w:kern w:val="0"/>
                <w:sz w:val="15"/>
                <w:szCs w:val="15"/>
                <w:lang w:val="en-US" w:eastAsia="zh-CN"/>
                <w14:textFill>
                  <w14:solidFill>
                    <w14:schemeClr w14:val="tx1"/>
                  </w14:solidFill>
                </w14:textFill>
              </w:rPr>
              <w:t>-</w:t>
            </w:r>
          </w:p>
        </w:tc>
        <w:tc>
          <w:tcPr>
            <w:tcW w:w="389" w:type="pct"/>
            <w:tcMar>
              <w:left w:w="57" w:type="dxa"/>
              <w:right w:w="57" w:type="dxa"/>
            </w:tcMar>
            <w:vAlign w:val="center"/>
          </w:tcPr>
          <w:p w14:paraId="25EE90C7">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w:t>
            </w:r>
          </w:p>
        </w:tc>
        <w:tc>
          <w:tcPr>
            <w:tcW w:w="252" w:type="pct"/>
            <w:tcMar>
              <w:left w:w="57" w:type="dxa"/>
              <w:right w:w="57" w:type="dxa"/>
            </w:tcMar>
            <w:vAlign w:val="center"/>
          </w:tcPr>
          <w:p w14:paraId="4848AE83">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20" w:type="pct"/>
            <w:tcMar>
              <w:left w:w="57" w:type="dxa"/>
              <w:right w:w="57" w:type="dxa"/>
            </w:tcMar>
            <w:vAlign w:val="center"/>
          </w:tcPr>
          <w:p w14:paraId="38777BD5">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0.0436</w:t>
            </w:r>
          </w:p>
        </w:tc>
        <w:tc>
          <w:tcPr>
            <w:tcW w:w="318" w:type="pct"/>
            <w:tcMar>
              <w:left w:w="57" w:type="dxa"/>
              <w:right w:w="57" w:type="dxa"/>
            </w:tcMar>
            <w:vAlign w:val="center"/>
          </w:tcPr>
          <w:p w14:paraId="277A91D1">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525" w:type="pct"/>
            <w:tcMar>
              <w:left w:w="57" w:type="dxa"/>
              <w:right w:w="57" w:type="dxa"/>
            </w:tcMar>
            <w:vAlign w:val="center"/>
          </w:tcPr>
          <w:p w14:paraId="40A43CEE">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93" w:type="pct"/>
            <w:tcMar>
              <w:left w:w="57" w:type="dxa"/>
              <w:right w:w="57" w:type="dxa"/>
            </w:tcMar>
            <w:vAlign w:val="center"/>
          </w:tcPr>
          <w:p w14:paraId="0A87ACFA">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rPr>
            </w:pPr>
            <w:r>
              <w:rPr>
                <w:rFonts w:hint="eastAsia" w:ascii="微软雅黑" w:hAnsi="微软雅黑" w:eastAsia="微软雅黑" w:cs="微软雅黑"/>
                <w:color w:val="auto"/>
                <w:kern w:val="2"/>
                <w:sz w:val="15"/>
                <w:szCs w:val="15"/>
                <w:lang w:val="en-US" w:eastAsia="zh-CN"/>
              </w:rPr>
              <w:t>-</w:t>
            </w:r>
          </w:p>
        </w:tc>
        <w:tc>
          <w:tcPr>
            <w:tcW w:w="399" w:type="pct"/>
            <w:gridSpan w:val="2"/>
            <w:tcMar>
              <w:left w:w="57" w:type="dxa"/>
              <w:right w:w="57" w:type="dxa"/>
            </w:tcMar>
            <w:vAlign w:val="center"/>
          </w:tcPr>
          <w:p w14:paraId="654A77C3">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99" w:type="pct"/>
            <w:gridSpan w:val="2"/>
            <w:tcMar>
              <w:left w:w="57" w:type="dxa"/>
              <w:right w:w="57" w:type="dxa"/>
            </w:tcMar>
            <w:vAlign w:val="center"/>
          </w:tcPr>
          <w:p w14:paraId="2B587F8E">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FF0000"/>
                <w:kern w:val="2"/>
                <w:sz w:val="15"/>
                <w:szCs w:val="15"/>
                <w:lang w:val="en-US"/>
              </w:rPr>
            </w:pPr>
            <w:r>
              <w:rPr>
                <w:rFonts w:hint="eastAsia" w:ascii="微软雅黑" w:hAnsi="微软雅黑" w:eastAsia="微软雅黑" w:cs="微软雅黑"/>
                <w:color w:val="auto"/>
                <w:kern w:val="2"/>
                <w:sz w:val="15"/>
                <w:szCs w:val="15"/>
                <w:lang w:val="en-US" w:eastAsia="zh-CN"/>
              </w:rPr>
              <w:t>-</w:t>
            </w:r>
          </w:p>
        </w:tc>
        <w:tc>
          <w:tcPr>
            <w:tcW w:w="287" w:type="pct"/>
            <w:tcMar>
              <w:left w:w="57" w:type="dxa"/>
              <w:right w:w="57" w:type="dxa"/>
            </w:tcMar>
            <w:vAlign w:val="center"/>
          </w:tcPr>
          <w:p w14:paraId="0BF696F1">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rPr>
            </w:pPr>
            <w:r>
              <w:rPr>
                <w:rFonts w:hint="eastAsia" w:ascii="微软雅黑" w:hAnsi="微软雅黑" w:eastAsia="微软雅黑" w:cs="微软雅黑"/>
                <w:color w:val="auto"/>
                <w:kern w:val="2"/>
                <w:sz w:val="15"/>
                <w:szCs w:val="15"/>
                <w:lang w:val="en-US" w:eastAsia="zh-CN"/>
              </w:rPr>
              <w:t>-</w:t>
            </w:r>
          </w:p>
        </w:tc>
        <w:tc>
          <w:tcPr>
            <w:tcW w:w="356" w:type="pct"/>
            <w:tcMar>
              <w:left w:w="57" w:type="dxa"/>
              <w:right w:w="57" w:type="dxa"/>
            </w:tcMar>
            <w:vAlign w:val="center"/>
          </w:tcPr>
          <w:p w14:paraId="31CF1251">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401" w:type="pct"/>
            <w:tcMar>
              <w:left w:w="57" w:type="dxa"/>
              <w:right w:w="57" w:type="dxa"/>
            </w:tcMar>
            <w:vAlign w:val="center"/>
          </w:tcPr>
          <w:p w14:paraId="5E8423FC">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FF0000"/>
                <w:kern w:val="2"/>
                <w:sz w:val="15"/>
                <w:szCs w:val="15"/>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r>
      <w:tr w14:paraId="0C3DFC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40" w:type="pct"/>
            <w:gridSpan w:val="2"/>
            <w:vMerge w:val="continue"/>
            <w:tcMar>
              <w:left w:w="57" w:type="dxa"/>
              <w:right w:w="57" w:type="dxa"/>
            </w:tcMar>
            <w:vAlign w:val="top"/>
          </w:tcPr>
          <w:p w14:paraId="33EE7F24">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p>
        </w:tc>
        <w:tc>
          <w:tcPr>
            <w:tcW w:w="505" w:type="pct"/>
            <w:tcMar>
              <w:left w:w="57" w:type="dxa"/>
              <w:right w:w="57" w:type="dxa"/>
            </w:tcMar>
            <w:vAlign w:val="center"/>
          </w:tcPr>
          <w:p w14:paraId="28290CC0">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化学需氧量</w:t>
            </w:r>
          </w:p>
        </w:tc>
        <w:tc>
          <w:tcPr>
            <w:tcW w:w="208" w:type="pct"/>
            <w:tcMar>
              <w:left w:w="57" w:type="dxa"/>
              <w:right w:w="57" w:type="dxa"/>
            </w:tcMar>
            <w:vAlign w:val="center"/>
          </w:tcPr>
          <w:p w14:paraId="446F06BA">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89" w:type="pct"/>
            <w:tcMar>
              <w:left w:w="57" w:type="dxa"/>
              <w:right w:w="57" w:type="dxa"/>
            </w:tcMar>
            <w:vAlign w:val="center"/>
          </w:tcPr>
          <w:p w14:paraId="18558109">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79</w:t>
            </w:r>
          </w:p>
        </w:tc>
        <w:tc>
          <w:tcPr>
            <w:tcW w:w="252" w:type="pct"/>
            <w:tcMar>
              <w:left w:w="57" w:type="dxa"/>
              <w:right w:w="57" w:type="dxa"/>
            </w:tcMar>
            <w:vAlign w:val="center"/>
          </w:tcPr>
          <w:p w14:paraId="3FA64F7F">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highlight w:val="red"/>
                <w:lang w:val="en-US" w:eastAsia="zh-CN"/>
              </w:rPr>
            </w:pPr>
            <w:r>
              <w:rPr>
                <w:rFonts w:hint="eastAsia" w:ascii="微软雅黑" w:hAnsi="微软雅黑" w:cs="微软雅黑"/>
                <w:color w:val="auto"/>
                <w:kern w:val="2"/>
                <w:sz w:val="15"/>
                <w:szCs w:val="15"/>
                <w:highlight w:val="none"/>
                <w:lang w:val="en-US" w:eastAsia="zh-CN"/>
              </w:rPr>
              <w:t>3000(50)</w:t>
            </w:r>
          </w:p>
        </w:tc>
        <w:tc>
          <w:tcPr>
            <w:tcW w:w="320" w:type="pct"/>
            <w:tcMar>
              <w:left w:w="57" w:type="dxa"/>
              <w:right w:w="57" w:type="dxa"/>
            </w:tcMar>
            <w:vAlign w:val="center"/>
          </w:tcPr>
          <w:p w14:paraId="033E9A3E">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highlight w:val="none"/>
                <w:lang w:val="en-US" w:eastAsia="zh-CN"/>
              </w:rPr>
            </w:pPr>
            <w:r>
              <w:rPr>
                <w:rFonts w:hint="eastAsia" w:ascii="微软雅黑" w:hAnsi="微软雅黑" w:eastAsia="微软雅黑" w:cs="微软雅黑"/>
                <w:color w:val="auto"/>
                <w:kern w:val="2"/>
                <w:sz w:val="15"/>
                <w:szCs w:val="15"/>
                <w:lang w:val="en-US" w:eastAsia="zh-CN"/>
              </w:rPr>
              <w:t>-</w:t>
            </w:r>
          </w:p>
        </w:tc>
        <w:tc>
          <w:tcPr>
            <w:tcW w:w="318" w:type="pct"/>
            <w:tcMar>
              <w:left w:w="57" w:type="dxa"/>
              <w:right w:w="57" w:type="dxa"/>
            </w:tcMar>
            <w:vAlign w:val="center"/>
          </w:tcPr>
          <w:p w14:paraId="15DF2351">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highlight w:val="none"/>
                <w:lang w:val="en-US" w:eastAsia="zh-CN"/>
              </w:rPr>
            </w:pPr>
            <w:r>
              <w:rPr>
                <w:rFonts w:hint="eastAsia" w:ascii="微软雅黑" w:hAnsi="微软雅黑" w:eastAsia="微软雅黑" w:cs="微软雅黑"/>
                <w:color w:val="auto"/>
                <w:kern w:val="2"/>
                <w:sz w:val="15"/>
                <w:szCs w:val="15"/>
                <w:lang w:val="en-US" w:eastAsia="zh-CN"/>
              </w:rPr>
              <w:t>-</w:t>
            </w:r>
          </w:p>
        </w:tc>
        <w:tc>
          <w:tcPr>
            <w:tcW w:w="525" w:type="pct"/>
            <w:tcMar>
              <w:left w:w="57" w:type="dxa"/>
              <w:right w:w="57" w:type="dxa"/>
            </w:tcMar>
            <w:vAlign w:val="center"/>
          </w:tcPr>
          <w:p w14:paraId="0B124E74">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highlight w:val="none"/>
                <w:lang w:val="en-US" w:eastAsia="zh-CN"/>
              </w:rPr>
            </w:pPr>
            <w:r>
              <w:rPr>
                <w:rFonts w:hint="eastAsia" w:ascii="微软雅黑" w:hAnsi="微软雅黑" w:cs="微软雅黑"/>
                <w:color w:val="auto"/>
                <w:kern w:val="2"/>
                <w:sz w:val="15"/>
                <w:szCs w:val="15"/>
                <w:lang w:val="en-US" w:eastAsia="zh-CN"/>
              </w:rPr>
              <w:t>0.0344（0.0218）</w:t>
            </w:r>
          </w:p>
        </w:tc>
        <w:tc>
          <w:tcPr>
            <w:tcW w:w="393" w:type="pct"/>
            <w:tcMar>
              <w:left w:w="57" w:type="dxa"/>
              <w:right w:w="57" w:type="dxa"/>
            </w:tcMar>
            <w:vAlign w:val="center"/>
          </w:tcPr>
          <w:p w14:paraId="1CB7B6E1">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99" w:type="pct"/>
            <w:gridSpan w:val="2"/>
            <w:tcMar>
              <w:left w:w="57" w:type="dxa"/>
              <w:right w:w="57" w:type="dxa"/>
            </w:tcMar>
            <w:vAlign w:val="center"/>
          </w:tcPr>
          <w:p w14:paraId="2B9E9F22">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99" w:type="pct"/>
            <w:gridSpan w:val="2"/>
            <w:shd w:val="clear" w:color="auto" w:fill="auto"/>
            <w:tcMar>
              <w:left w:w="57" w:type="dxa"/>
              <w:right w:w="57" w:type="dxa"/>
            </w:tcMar>
            <w:vAlign w:val="center"/>
          </w:tcPr>
          <w:p w14:paraId="141F8A8B">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highlight w:val="none"/>
                <w:lang w:val="en-US" w:eastAsia="zh-CN" w:bidi="ar-SA"/>
              </w:rPr>
            </w:pPr>
            <w:r>
              <w:rPr>
                <w:rFonts w:hint="eastAsia" w:ascii="微软雅黑" w:hAnsi="微软雅黑" w:cs="微软雅黑"/>
                <w:color w:val="auto"/>
                <w:kern w:val="2"/>
                <w:sz w:val="15"/>
                <w:szCs w:val="15"/>
                <w:lang w:val="en-US" w:eastAsia="zh-CN"/>
              </w:rPr>
              <w:t>0.0344（0.0218）</w:t>
            </w:r>
          </w:p>
        </w:tc>
        <w:tc>
          <w:tcPr>
            <w:tcW w:w="287" w:type="pct"/>
            <w:tcMar>
              <w:left w:w="57" w:type="dxa"/>
              <w:right w:w="57" w:type="dxa"/>
            </w:tcMar>
            <w:vAlign w:val="center"/>
          </w:tcPr>
          <w:p w14:paraId="2BB6D59E">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56" w:type="pct"/>
            <w:tcMar>
              <w:left w:w="57" w:type="dxa"/>
              <w:right w:w="57" w:type="dxa"/>
            </w:tcMar>
            <w:vAlign w:val="center"/>
          </w:tcPr>
          <w:p w14:paraId="71878AB8">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401" w:type="pct"/>
            <w:tcMar>
              <w:left w:w="57" w:type="dxa"/>
              <w:right w:w="57" w:type="dxa"/>
            </w:tcMar>
            <w:vAlign w:val="center"/>
          </w:tcPr>
          <w:p w14:paraId="1F421BF2">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FF0000"/>
                <w:kern w:val="2"/>
                <w:sz w:val="15"/>
                <w:szCs w:val="15"/>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r>
      <w:tr w14:paraId="0EF1BB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40" w:type="pct"/>
            <w:gridSpan w:val="2"/>
            <w:vMerge w:val="continue"/>
            <w:tcMar>
              <w:left w:w="57" w:type="dxa"/>
              <w:right w:w="57" w:type="dxa"/>
            </w:tcMar>
            <w:vAlign w:val="top"/>
          </w:tcPr>
          <w:p w14:paraId="1600BB6F">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p>
        </w:tc>
        <w:tc>
          <w:tcPr>
            <w:tcW w:w="505" w:type="pct"/>
            <w:tcMar>
              <w:left w:w="57" w:type="dxa"/>
              <w:right w:w="57" w:type="dxa"/>
            </w:tcMar>
            <w:vAlign w:val="center"/>
          </w:tcPr>
          <w:p w14:paraId="6EA3C0E2">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氨氮</w:t>
            </w:r>
          </w:p>
        </w:tc>
        <w:tc>
          <w:tcPr>
            <w:tcW w:w="208" w:type="pct"/>
            <w:tcMar>
              <w:left w:w="57" w:type="dxa"/>
              <w:right w:w="57" w:type="dxa"/>
            </w:tcMar>
            <w:vAlign w:val="center"/>
          </w:tcPr>
          <w:p w14:paraId="384A3968">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89" w:type="pct"/>
            <w:tcMar>
              <w:left w:w="57" w:type="dxa"/>
              <w:right w:w="57" w:type="dxa"/>
            </w:tcMar>
            <w:vAlign w:val="center"/>
          </w:tcPr>
          <w:p w14:paraId="6FBE4E79">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33.8</w:t>
            </w:r>
          </w:p>
        </w:tc>
        <w:tc>
          <w:tcPr>
            <w:tcW w:w="252" w:type="pct"/>
            <w:tcMar>
              <w:left w:w="57" w:type="dxa"/>
              <w:right w:w="57" w:type="dxa"/>
            </w:tcMar>
            <w:vAlign w:val="center"/>
          </w:tcPr>
          <w:p w14:paraId="3B6FD743">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100(5)</w:t>
            </w:r>
          </w:p>
        </w:tc>
        <w:tc>
          <w:tcPr>
            <w:tcW w:w="320" w:type="pct"/>
            <w:tcMar>
              <w:left w:w="57" w:type="dxa"/>
              <w:right w:w="57" w:type="dxa"/>
            </w:tcMar>
            <w:vAlign w:val="center"/>
          </w:tcPr>
          <w:p w14:paraId="5DE44887">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18" w:type="pct"/>
            <w:tcMar>
              <w:left w:w="57" w:type="dxa"/>
              <w:right w:w="57" w:type="dxa"/>
            </w:tcMar>
            <w:vAlign w:val="center"/>
          </w:tcPr>
          <w:p w14:paraId="19587335">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525" w:type="pct"/>
            <w:tcMar>
              <w:left w:w="57" w:type="dxa"/>
              <w:right w:w="57" w:type="dxa"/>
            </w:tcMar>
            <w:vAlign w:val="center"/>
          </w:tcPr>
          <w:p w14:paraId="16748028">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0.0147（0.0022）</w:t>
            </w:r>
          </w:p>
        </w:tc>
        <w:tc>
          <w:tcPr>
            <w:tcW w:w="393" w:type="pct"/>
            <w:tcMar>
              <w:left w:w="57" w:type="dxa"/>
              <w:right w:w="57" w:type="dxa"/>
            </w:tcMar>
            <w:vAlign w:val="center"/>
          </w:tcPr>
          <w:p w14:paraId="1D9E5ADE">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99" w:type="pct"/>
            <w:gridSpan w:val="2"/>
            <w:tcMar>
              <w:left w:w="57" w:type="dxa"/>
              <w:right w:w="57" w:type="dxa"/>
            </w:tcMar>
            <w:vAlign w:val="center"/>
          </w:tcPr>
          <w:p w14:paraId="5F5328EA">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99" w:type="pct"/>
            <w:gridSpan w:val="2"/>
            <w:shd w:val="clear" w:color="auto" w:fill="auto"/>
            <w:tcMar>
              <w:left w:w="57" w:type="dxa"/>
              <w:right w:w="57" w:type="dxa"/>
            </w:tcMar>
            <w:vAlign w:val="center"/>
          </w:tcPr>
          <w:p w14:paraId="7290654E">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bidi="ar-SA"/>
              </w:rPr>
            </w:pPr>
            <w:r>
              <w:rPr>
                <w:rFonts w:hint="eastAsia" w:ascii="微软雅黑" w:hAnsi="微软雅黑" w:cs="微软雅黑"/>
                <w:color w:val="auto"/>
                <w:kern w:val="2"/>
                <w:sz w:val="15"/>
                <w:szCs w:val="15"/>
                <w:lang w:val="en-US" w:eastAsia="zh-CN"/>
              </w:rPr>
              <w:t>0.0147（0.0022）</w:t>
            </w:r>
          </w:p>
        </w:tc>
        <w:tc>
          <w:tcPr>
            <w:tcW w:w="287" w:type="pct"/>
            <w:tcMar>
              <w:left w:w="57" w:type="dxa"/>
              <w:right w:w="57" w:type="dxa"/>
            </w:tcMar>
            <w:vAlign w:val="center"/>
          </w:tcPr>
          <w:p w14:paraId="61BA5282">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56" w:type="pct"/>
            <w:tcMar>
              <w:left w:w="57" w:type="dxa"/>
              <w:right w:w="57" w:type="dxa"/>
            </w:tcMar>
            <w:vAlign w:val="center"/>
          </w:tcPr>
          <w:p w14:paraId="3535C480">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401" w:type="pct"/>
            <w:tcMar>
              <w:left w:w="57" w:type="dxa"/>
              <w:right w:w="57" w:type="dxa"/>
            </w:tcMar>
            <w:vAlign w:val="center"/>
          </w:tcPr>
          <w:p w14:paraId="27FB4102">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FF0000"/>
                <w:kern w:val="2"/>
                <w:sz w:val="15"/>
                <w:szCs w:val="15"/>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r>
      <w:tr w14:paraId="373894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40" w:type="pct"/>
            <w:gridSpan w:val="2"/>
            <w:vMerge w:val="continue"/>
            <w:tcMar>
              <w:left w:w="57" w:type="dxa"/>
              <w:right w:w="57" w:type="dxa"/>
            </w:tcMar>
            <w:vAlign w:val="top"/>
          </w:tcPr>
          <w:p w14:paraId="42DA3369">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lang w:eastAsia="zh-CN"/>
                <w14:textFill>
                  <w14:solidFill>
                    <w14:schemeClr w14:val="tx1"/>
                  </w14:solidFill>
                </w14:textFill>
              </w:rPr>
            </w:pPr>
          </w:p>
        </w:tc>
        <w:tc>
          <w:tcPr>
            <w:tcW w:w="505" w:type="pct"/>
            <w:tcMar>
              <w:left w:w="57" w:type="dxa"/>
              <w:right w:w="57" w:type="dxa"/>
            </w:tcMar>
            <w:vAlign w:val="center"/>
          </w:tcPr>
          <w:p w14:paraId="58D69762">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废气</w:t>
            </w:r>
          </w:p>
        </w:tc>
        <w:tc>
          <w:tcPr>
            <w:tcW w:w="208" w:type="pct"/>
            <w:tcMar>
              <w:left w:w="57" w:type="dxa"/>
              <w:right w:w="57" w:type="dxa"/>
            </w:tcMar>
            <w:vAlign w:val="center"/>
          </w:tcPr>
          <w:p w14:paraId="7843C6ED">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89" w:type="pct"/>
            <w:tcMar>
              <w:left w:w="57" w:type="dxa"/>
              <w:right w:w="57" w:type="dxa"/>
            </w:tcMar>
            <w:vAlign w:val="center"/>
          </w:tcPr>
          <w:p w14:paraId="04D3B0A9">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w:t>
            </w:r>
          </w:p>
        </w:tc>
        <w:tc>
          <w:tcPr>
            <w:tcW w:w="252" w:type="pct"/>
            <w:tcMar>
              <w:left w:w="57" w:type="dxa"/>
              <w:right w:w="57" w:type="dxa"/>
            </w:tcMar>
            <w:vAlign w:val="center"/>
          </w:tcPr>
          <w:p w14:paraId="3F902B5D">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w:t>
            </w:r>
          </w:p>
        </w:tc>
        <w:tc>
          <w:tcPr>
            <w:tcW w:w="320" w:type="pct"/>
            <w:tcMar>
              <w:left w:w="57" w:type="dxa"/>
              <w:right w:w="57" w:type="dxa"/>
            </w:tcMar>
            <w:vAlign w:val="center"/>
          </w:tcPr>
          <w:p w14:paraId="64ADC8B8">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4748.16</w:t>
            </w:r>
          </w:p>
        </w:tc>
        <w:tc>
          <w:tcPr>
            <w:tcW w:w="318" w:type="pct"/>
            <w:tcMar>
              <w:left w:w="57" w:type="dxa"/>
              <w:right w:w="57" w:type="dxa"/>
            </w:tcMar>
            <w:vAlign w:val="center"/>
          </w:tcPr>
          <w:p w14:paraId="61E5B53D">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525" w:type="pct"/>
            <w:tcMar>
              <w:left w:w="57" w:type="dxa"/>
              <w:right w:w="57" w:type="dxa"/>
            </w:tcMar>
            <w:vAlign w:val="center"/>
          </w:tcPr>
          <w:p w14:paraId="3A1C15C0">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93" w:type="pct"/>
            <w:tcMar>
              <w:left w:w="57" w:type="dxa"/>
              <w:right w:w="57" w:type="dxa"/>
            </w:tcMar>
            <w:vAlign w:val="center"/>
          </w:tcPr>
          <w:p w14:paraId="193ACF73">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auto"/>
                <w:kern w:val="2"/>
                <w:sz w:val="15"/>
                <w:szCs w:val="15"/>
              </w:rPr>
            </w:pPr>
            <w:r>
              <w:rPr>
                <w:rFonts w:hint="eastAsia" w:ascii="微软雅黑" w:hAnsi="微软雅黑" w:eastAsia="微软雅黑" w:cs="微软雅黑"/>
                <w:color w:val="auto"/>
                <w:kern w:val="2"/>
                <w:sz w:val="15"/>
                <w:szCs w:val="15"/>
                <w:lang w:val="en-US" w:eastAsia="zh-CN"/>
              </w:rPr>
              <w:t>-</w:t>
            </w:r>
          </w:p>
        </w:tc>
        <w:tc>
          <w:tcPr>
            <w:tcW w:w="399" w:type="pct"/>
            <w:gridSpan w:val="2"/>
            <w:tcMar>
              <w:left w:w="57" w:type="dxa"/>
              <w:right w:w="57" w:type="dxa"/>
            </w:tcMar>
            <w:vAlign w:val="center"/>
          </w:tcPr>
          <w:p w14:paraId="157152F9">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99" w:type="pct"/>
            <w:gridSpan w:val="2"/>
            <w:shd w:val="clear" w:color="auto" w:fill="auto"/>
            <w:tcMar>
              <w:left w:w="57" w:type="dxa"/>
              <w:right w:w="57" w:type="dxa"/>
            </w:tcMar>
            <w:vAlign w:val="center"/>
          </w:tcPr>
          <w:p w14:paraId="172C3A85">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lang w:val="en-US" w:eastAsia="zh-CN" w:bidi="ar-SA"/>
              </w:rPr>
            </w:pPr>
            <w:r>
              <w:rPr>
                <w:rFonts w:hint="eastAsia" w:ascii="微软雅黑" w:hAnsi="微软雅黑" w:eastAsia="微软雅黑" w:cs="微软雅黑"/>
                <w:color w:val="auto"/>
                <w:kern w:val="2"/>
                <w:sz w:val="15"/>
                <w:szCs w:val="15"/>
                <w:lang w:val="en-US" w:eastAsia="zh-CN"/>
              </w:rPr>
              <w:t>-</w:t>
            </w:r>
          </w:p>
        </w:tc>
        <w:tc>
          <w:tcPr>
            <w:tcW w:w="287" w:type="pct"/>
            <w:tcMar>
              <w:left w:w="57" w:type="dxa"/>
              <w:right w:w="57" w:type="dxa"/>
            </w:tcMar>
            <w:vAlign w:val="center"/>
          </w:tcPr>
          <w:p w14:paraId="4FBDC98D">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rPr>
            </w:pPr>
            <w:r>
              <w:rPr>
                <w:rFonts w:hint="eastAsia" w:ascii="微软雅黑" w:hAnsi="微软雅黑" w:eastAsia="微软雅黑" w:cs="微软雅黑"/>
                <w:color w:val="auto"/>
                <w:kern w:val="2"/>
                <w:sz w:val="15"/>
                <w:szCs w:val="15"/>
                <w:lang w:val="en-US" w:eastAsia="zh-CN"/>
              </w:rPr>
              <w:t>-</w:t>
            </w:r>
          </w:p>
        </w:tc>
        <w:tc>
          <w:tcPr>
            <w:tcW w:w="356" w:type="pct"/>
            <w:tcMar>
              <w:left w:w="57" w:type="dxa"/>
              <w:right w:w="57" w:type="dxa"/>
            </w:tcMar>
            <w:vAlign w:val="center"/>
          </w:tcPr>
          <w:p w14:paraId="5DFE9165">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401" w:type="pct"/>
            <w:tcMar>
              <w:left w:w="57" w:type="dxa"/>
              <w:right w:w="57" w:type="dxa"/>
            </w:tcMar>
            <w:vAlign w:val="center"/>
          </w:tcPr>
          <w:p w14:paraId="50FC42A0">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FF0000"/>
                <w:kern w:val="2"/>
                <w:sz w:val="15"/>
                <w:szCs w:val="15"/>
                <w:lang w:val="en-US" w:eastAsia="zh-CN"/>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r>
      <w:tr w14:paraId="6DCF3C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40" w:type="pct"/>
            <w:gridSpan w:val="2"/>
            <w:vMerge w:val="continue"/>
            <w:tcMar>
              <w:left w:w="57" w:type="dxa"/>
              <w:right w:w="57" w:type="dxa"/>
            </w:tcMar>
            <w:vAlign w:val="top"/>
          </w:tcPr>
          <w:p w14:paraId="4E54C0B5">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lang w:eastAsia="zh-CN"/>
                <w14:textFill>
                  <w14:solidFill>
                    <w14:schemeClr w14:val="tx1"/>
                  </w14:solidFill>
                </w14:textFill>
              </w:rPr>
            </w:pPr>
          </w:p>
        </w:tc>
        <w:tc>
          <w:tcPr>
            <w:tcW w:w="505" w:type="pct"/>
            <w:tcMar>
              <w:left w:w="57" w:type="dxa"/>
              <w:right w:w="57" w:type="dxa"/>
            </w:tcMar>
            <w:vAlign w:val="center"/>
          </w:tcPr>
          <w:p w14:paraId="7EA7CCED">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b/>
                <w:color w:val="000000" w:themeColor="text1"/>
                <w:kern w:val="2"/>
                <w:sz w:val="15"/>
                <w:szCs w:val="15"/>
                <w:lang w:eastAsia="zh-CN"/>
                <w14:textFill>
                  <w14:solidFill>
                    <w14:schemeClr w14:val="tx1"/>
                  </w14:solidFill>
                </w14:textFill>
              </w:rPr>
            </w:pPr>
            <w:r>
              <w:rPr>
                <w:rFonts w:hint="eastAsia" w:ascii="微软雅黑" w:hAnsi="微软雅黑" w:eastAsia="微软雅黑" w:cs="微软雅黑"/>
                <w:b/>
                <w:color w:val="000000" w:themeColor="text1"/>
                <w:kern w:val="2"/>
                <w:sz w:val="15"/>
                <w:szCs w:val="15"/>
                <w:lang w:eastAsia="zh-CN"/>
                <w14:textFill>
                  <w14:solidFill>
                    <w14:schemeClr w14:val="tx1"/>
                  </w14:solidFill>
                </w14:textFill>
              </w:rPr>
              <w:t>颗粒物</w:t>
            </w:r>
          </w:p>
        </w:tc>
        <w:tc>
          <w:tcPr>
            <w:tcW w:w="208" w:type="pct"/>
            <w:tcMar>
              <w:left w:w="57" w:type="dxa"/>
              <w:right w:w="57" w:type="dxa"/>
            </w:tcMar>
            <w:vAlign w:val="center"/>
          </w:tcPr>
          <w:p w14:paraId="2C0D4772">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89" w:type="pct"/>
            <w:tcMar>
              <w:left w:w="57" w:type="dxa"/>
              <w:right w:w="57" w:type="dxa"/>
            </w:tcMar>
            <w:vAlign w:val="center"/>
          </w:tcPr>
          <w:p w14:paraId="688139E9">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w:t>
            </w:r>
          </w:p>
        </w:tc>
        <w:tc>
          <w:tcPr>
            <w:tcW w:w="252" w:type="pct"/>
            <w:tcMar>
              <w:left w:w="57" w:type="dxa"/>
              <w:right w:w="57" w:type="dxa"/>
            </w:tcMar>
            <w:vAlign w:val="center"/>
          </w:tcPr>
          <w:p w14:paraId="601C8A60">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20" w:type="pct"/>
            <w:tcMar>
              <w:left w:w="57" w:type="dxa"/>
              <w:right w:w="57" w:type="dxa"/>
            </w:tcMar>
            <w:vAlign w:val="center"/>
          </w:tcPr>
          <w:p w14:paraId="6EAC2B9C">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18" w:type="pct"/>
            <w:tcMar>
              <w:left w:w="57" w:type="dxa"/>
              <w:right w:w="57" w:type="dxa"/>
            </w:tcMar>
            <w:vAlign w:val="center"/>
          </w:tcPr>
          <w:p w14:paraId="5374FF07">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525" w:type="pct"/>
            <w:tcMar>
              <w:left w:w="57" w:type="dxa"/>
              <w:right w:w="57" w:type="dxa"/>
            </w:tcMar>
            <w:vAlign w:val="center"/>
          </w:tcPr>
          <w:p w14:paraId="16BADEEE">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93" w:type="pct"/>
            <w:tcMar>
              <w:left w:w="57" w:type="dxa"/>
              <w:right w:w="57" w:type="dxa"/>
            </w:tcMar>
            <w:vAlign w:val="center"/>
          </w:tcPr>
          <w:p w14:paraId="4DA7EF28">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99" w:type="pct"/>
            <w:gridSpan w:val="2"/>
            <w:tcMar>
              <w:left w:w="57" w:type="dxa"/>
              <w:right w:w="57" w:type="dxa"/>
            </w:tcMar>
            <w:vAlign w:val="center"/>
          </w:tcPr>
          <w:p w14:paraId="131DAED8">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99" w:type="pct"/>
            <w:gridSpan w:val="2"/>
            <w:shd w:val="clear" w:color="auto" w:fill="auto"/>
            <w:tcMar>
              <w:left w:w="57" w:type="dxa"/>
              <w:right w:w="57" w:type="dxa"/>
            </w:tcMar>
            <w:vAlign w:val="center"/>
          </w:tcPr>
          <w:p w14:paraId="332682DE">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lang w:val="en-US" w:eastAsia="zh-CN" w:bidi="ar-SA"/>
              </w:rPr>
            </w:pPr>
            <w:r>
              <w:rPr>
                <w:rFonts w:hint="eastAsia" w:ascii="微软雅黑" w:hAnsi="微软雅黑" w:eastAsia="微软雅黑" w:cs="微软雅黑"/>
                <w:color w:val="auto"/>
                <w:kern w:val="2"/>
                <w:sz w:val="15"/>
                <w:szCs w:val="15"/>
                <w:lang w:val="en-US" w:eastAsia="zh-CN"/>
              </w:rPr>
              <w:t>-</w:t>
            </w:r>
          </w:p>
        </w:tc>
        <w:tc>
          <w:tcPr>
            <w:tcW w:w="287" w:type="pct"/>
            <w:tcMar>
              <w:left w:w="57" w:type="dxa"/>
              <w:right w:w="57" w:type="dxa"/>
            </w:tcMar>
            <w:vAlign w:val="center"/>
          </w:tcPr>
          <w:p w14:paraId="1BE1D511">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56" w:type="pct"/>
            <w:tcMar>
              <w:left w:w="57" w:type="dxa"/>
              <w:right w:w="57" w:type="dxa"/>
            </w:tcMar>
            <w:vAlign w:val="center"/>
          </w:tcPr>
          <w:p w14:paraId="286AFD58">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401" w:type="pct"/>
            <w:tcMar>
              <w:left w:w="57" w:type="dxa"/>
              <w:right w:w="57" w:type="dxa"/>
            </w:tcMar>
            <w:vAlign w:val="center"/>
          </w:tcPr>
          <w:p w14:paraId="15700A15">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FF0000"/>
                <w:kern w:val="2"/>
                <w:sz w:val="15"/>
                <w:szCs w:val="15"/>
                <w:lang w:val="en-US" w:eastAsia="zh-CN"/>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r>
      <w:tr w14:paraId="1321CD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40" w:type="pct"/>
            <w:gridSpan w:val="2"/>
            <w:vMerge w:val="continue"/>
            <w:tcMar>
              <w:left w:w="57" w:type="dxa"/>
              <w:right w:w="57" w:type="dxa"/>
            </w:tcMar>
            <w:vAlign w:val="top"/>
          </w:tcPr>
          <w:p w14:paraId="6FF322F2">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lang w:eastAsia="zh-CN"/>
                <w14:textFill>
                  <w14:solidFill>
                    <w14:schemeClr w14:val="tx1"/>
                  </w14:solidFill>
                </w14:textFill>
              </w:rPr>
            </w:pPr>
          </w:p>
        </w:tc>
        <w:tc>
          <w:tcPr>
            <w:tcW w:w="505" w:type="pct"/>
            <w:tcMar>
              <w:left w:w="57" w:type="dxa"/>
              <w:right w:w="57" w:type="dxa"/>
            </w:tcMar>
            <w:vAlign w:val="center"/>
          </w:tcPr>
          <w:p w14:paraId="2D84EFB8">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b/>
                <w:color w:val="000000" w:themeColor="text1"/>
                <w:kern w:val="2"/>
                <w:sz w:val="15"/>
                <w:szCs w:val="15"/>
                <w:lang w:val="en-US" w:eastAsia="zh-CN"/>
                <w14:textFill>
                  <w14:solidFill>
                    <w14:schemeClr w14:val="tx1"/>
                  </w14:solidFill>
                </w14:textFill>
              </w:rPr>
            </w:pPr>
            <w:r>
              <w:rPr>
                <w:rFonts w:hint="eastAsia" w:ascii="微软雅黑" w:hAnsi="微软雅黑" w:cs="微软雅黑"/>
                <w:b/>
                <w:color w:val="000000" w:themeColor="text1"/>
                <w:kern w:val="2"/>
                <w:sz w:val="15"/>
                <w:szCs w:val="15"/>
                <w:lang w:val="en-US" w:eastAsia="zh-CN"/>
                <w14:textFill>
                  <w14:solidFill>
                    <w14:schemeClr w14:val="tx1"/>
                  </w14:solidFill>
                </w14:textFill>
              </w:rPr>
              <w:t>非甲烷总烃</w:t>
            </w:r>
          </w:p>
        </w:tc>
        <w:tc>
          <w:tcPr>
            <w:tcW w:w="208" w:type="pct"/>
            <w:tcMar>
              <w:left w:w="57" w:type="dxa"/>
              <w:right w:w="57" w:type="dxa"/>
            </w:tcMar>
            <w:vAlign w:val="center"/>
          </w:tcPr>
          <w:p w14:paraId="6A2179FE">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cs="微软雅黑"/>
                <w:color w:val="000000" w:themeColor="text1"/>
                <w:kern w:val="2"/>
                <w:sz w:val="15"/>
                <w:szCs w:val="15"/>
                <w:lang w:val="en-US" w:eastAsia="zh-CN"/>
                <w14:textFill>
                  <w14:solidFill>
                    <w14:schemeClr w14:val="tx1"/>
                  </w14:solidFill>
                </w14:textFill>
              </w:rPr>
              <w:t>-</w:t>
            </w:r>
          </w:p>
        </w:tc>
        <w:tc>
          <w:tcPr>
            <w:tcW w:w="389" w:type="pct"/>
            <w:tcMar>
              <w:left w:w="57" w:type="dxa"/>
              <w:right w:w="57" w:type="dxa"/>
            </w:tcMar>
            <w:vAlign w:val="center"/>
          </w:tcPr>
          <w:p w14:paraId="14B44F9B">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46.35</w:t>
            </w:r>
          </w:p>
        </w:tc>
        <w:tc>
          <w:tcPr>
            <w:tcW w:w="252" w:type="pct"/>
            <w:tcMar>
              <w:left w:w="57" w:type="dxa"/>
              <w:right w:w="57" w:type="dxa"/>
            </w:tcMar>
            <w:vAlign w:val="center"/>
          </w:tcPr>
          <w:p w14:paraId="36E82B77">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120</w:t>
            </w:r>
          </w:p>
        </w:tc>
        <w:tc>
          <w:tcPr>
            <w:tcW w:w="320" w:type="pct"/>
            <w:tcMar>
              <w:left w:w="57" w:type="dxa"/>
              <w:right w:w="57" w:type="dxa"/>
            </w:tcMar>
            <w:vAlign w:val="center"/>
          </w:tcPr>
          <w:p w14:paraId="2D2F7F07">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18" w:type="pct"/>
            <w:tcMar>
              <w:left w:w="57" w:type="dxa"/>
              <w:right w:w="57" w:type="dxa"/>
            </w:tcMar>
            <w:vAlign w:val="center"/>
          </w:tcPr>
          <w:p w14:paraId="65EE7E4D">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525" w:type="pct"/>
            <w:tcMar>
              <w:left w:w="57" w:type="dxa"/>
              <w:right w:w="57" w:type="dxa"/>
            </w:tcMar>
            <w:vAlign w:val="center"/>
          </w:tcPr>
          <w:p w14:paraId="2CA84C09">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1.1</w:t>
            </w:r>
          </w:p>
        </w:tc>
        <w:tc>
          <w:tcPr>
            <w:tcW w:w="393" w:type="pct"/>
            <w:tcMar>
              <w:left w:w="57" w:type="dxa"/>
              <w:right w:w="57" w:type="dxa"/>
            </w:tcMar>
            <w:vAlign w:val="center"/>
          </w:tcPr>
          <w:p w14:paraId="5A79488A">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99" w:type="pct"/>
            <w:gridSpan w:val="2"/>
            <w:tcMar>
              <w:left w:w="57" w:type="dxa"/>
              <w:right w:w="57" w:type="dxa"/>
            </w:tcMar>
            <w:vAlign w:val="center"/>
          </w:tcPr>
          <w:p w14:paraId="219089B1">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99" w:type="pct"/>
            <w:gridSpan w:val="2"/>
            <w:shd w:val="clear" w:color="auto" w:fill="auto"/>
            <w:tcMar>
              <w:left w:w="57" w:type="dxa"/>
              <w:right w:w="57" w:type="dxa"/>
            </w:tcMar>
            <w:vAlign w:val="center"/>
          </w:tcPr>
          <w:p w14:paraId="4ED3690B">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lang w:val="en-US" w:eastAsia="zh-CN" w:bidi="ar-SA"/>
              </w:rPr>
            </w:pPr>
            <w:r>
              <w:rPr>
                <w:rFonts w:hint="eastAsia" w:ascii="微软雅黑" w:hAnsi="微软雅黑" w:cs="微软雅黑"/>
                <w:color w:val="auto"/>
                <w:kern w:val="2"/>
                <w:sz w:val="15"/>
                <w:szCs w:val="15"/>
                <w:lang w:val="en-US" w:eastAsia="zh-CN"/>
              </w:rPr>
              <w:t>1.1</w:t>
            </w:r>
          </w:p>
        </w:tc>
        <w:tc>
          <w:tcPr>
            <w:tcW w:w="287" w:type="pct"/>
            <w:tcMar>
              <w:left w:w="57" w:type="dxa"/>
              <w:right w:w="57" w:type="dxa"/>
            </w:tcMar>
            <w:vAlign w:val="center"/>
          </w:tcPr>
          <w:p w14:paraId="760ECD37">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56" w:type="pct"/>
            <w:tcMar>
              <w:left w:w="57" w:type="dxa"/>
              <w:right w:w="57" w:type="dxa"/>
            </w:tcMar>
            <w:vAlign w:val="center"/>
          </w:tcPr>
          <w:p w14:paraId="293E99C7">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401" w:type="pct"/>
            <w:tcMar>
              <w:left w:w="57" w:type="dxa"/>
              <w:right w:w="57" w:type="dxa"/>
            </w:tcMar>
            <w:vAlign w:val="center"/>
          </w:tcPr>
          <w:p w14:paraId="46BD7F38">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FF0000"/>
                <w:kern w:val="2"/>
                <w:sz w:val="15"/>
                <w:szCs w:val="15"/>
                <w:lang w:val="en-US" w:eastAsia="zh-CN"/>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r>
      <w:tr w14:paraId="59E45D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40" w:type="pct"/>
            <w:gridSpan w:val="2"/>
            <w:vMerge w:val="continue"/>
            <w:tcMar>
              <w:left w:w="57" w:type="dxa"/>
              <w:right w:w="57" w:type="dxa"/>
            </w:tcMar>
            <w:vAlign w:val="top"/>
          </w:tcPr>
          <w:p w14:paraId="6486ACB9">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p>
        </w:tc>
        <w:tc>
          <w:tcPr>
            <w:tcW w:w="505" w:type="pct"/>
            <w:tcMar>
              <w:left w:w="57" w:type="dxa"/>
              <w:right w:w="57" w:type="dxa"/>
            </w:tcMar>
            <w:vAlign w:val="center"/>
          </w:tcPr>
          <w:p w14:paraId="678FA19B">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b/>
                <w:color w:val="000000" w:themeColor="text1"/>
                <w:kern w:val="2"/>
                <w:sz w:val="15"/>
                <w:szCs w:val="15"/>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工业固体废物</w:t>
            </w:r>
          </w:p>
        </w:tc>
        <w:tc>
          <w:tcPr>
            <w:tcW w:w="208" w:type="pct"/>
            <w:tcMar>
              <w:left w:w="57" w:type="dxa"/>
              <w:right w:w="57" w:type="dxa"/>
            </w:tcMar>
            <w:vAlign w:val="center"/>
          </w:tcPr>
          <w:p w14:paraId="15D16B2D">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89" w:type="pct"/>
            <w:tcMar>
              <w:left w:w="57" w:type="dxa"/>
              <w:right w:w="57" w:type="dxa"/>
            </w:tcMar>
            <w:vAlign w:val="center"/>
          </w:tcPr>
          <w:p w14:paraId="3C953BF2">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w:t>
            </w:r>
          </w:p>
        </w:tc>
        <w:tc>
          <w:tcPr>
            <w:tcW w:w="252" w:type="pct"/>
            <w:tcMar>
              <w:left w:w="57" w:type="dxa"/>
              <w:right w:w="57" w:type="dxa"/>
            </w:tcMar>
            <w:vAlign w:val="center"/>
          </w:tcPr>
          <w:p w14:paraId="44D97280">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20" w:type="pct"/>
            <w:tcMar>
              <w:left w:w="57" w:type="dxa"/>
              <w:right w:w="57" w:type="dxa"/>
            </w:tcMar>
            <w:vAlign w:val="center"/>
          </w:tcPr>
          <w:p w14:paraId="2CEC7C0B">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highlight w:val="yellow"/>
                <w:lang w:val="en-US" w:eastAsia="zh-CN"/>
              </w:rPr>
            </w:pPr>
            <w:r>
              <w:rPr>
                <w:rFonts w:hint="eastAsia" w:ascii="微软雅黑" w:hAnsi="微软雅黑" w:cs="微软雅黑"/>
                <w:color w:val="auto"/>
                <w:kern w:val="2"/>
                <w:sz w:val="15"/>
                <w:szCs w:val="15"/>
                <w:highlight w:val="none"/>
                <w:lang w:val="en-US" w:eastAsia="zh-CN"/>
              </w:rPr>
              <w:t>0.6</w:t>
            </w:r>
          </w:p>
        </w:tc>
        <w:tc>
          <w:tcPr>
            <w:tcW w:w="318" w:type="pct"/>
            <w:tcMar>
              <w:left w:w="57" w:type="dxa"/>
              <w:right w:w="57" w:type="dxa"/>
            </w:tcMar>
            <w:vAlign w:val="center"/>
          </w:tcPr>
          <w:p w14:paraId="6B5FC71E">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highlight w:val="yellow"/>
                <w:lang w:val="en-US" w:eastAsia="zh-CN"/>
              </w:rPr>
            </w:pPr>
            <w:r>
              <w:rPr>
                <w:rFonts w:hint="eastAsia" w:ascii="微软雅黑" w:hAnsi="微软雅黑" w:cs="微软雅黑"/>
                <w:color w:val="auto"/>
                <w:kern w:val="2"/>
                <w:sz w:val="15"/>
                <w:szCs w:val="15"/>
                <w:highlight w:val="none"/>
                <w:lang w:val="en-US" w:eastAsia="zh-CN"/>
              </w:rPr>
              <w:t>0.6</w:t>
            </w:r>
          </w:p>
        </w:tc>
        <w:tc>
          <w:tcPr>
            <w:tcW w:w="525" w:type="pct"/>
            <w:tcMar>
              <w:left w:w="57" w:type="dxa"/>
              <w:right w:w="57" w:type="dxa"/>
            </w:tcMar>
            <w:vAlign w:val="center"/>
          </w:tcPr>
          <w:p w14:paraId="45BBF9D6">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0</w:t>
            </w:r>
          </w:p>
        </w:tc>
        <w:tc>
          <w:tcPr>
            <w:tcW w:w="393" w:type="pct"/>
            <w:tcMar>
              <w:left w:w="57" w:type="dxa"/>
              <w:right w:w="57" w:type="dxa"/>
            </w:tcMar>
            <w:vAlign w:val="center"/>
          </w:tcPr>
          <w:p w14:paraId="52E90282">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99" w:type="pct"/>
            <w:gridSpan w:val="2"/>
            <w:tcMar>
              <w:left w:w="57" w:type="dxa"/>
              <w:right w:w="57" w:type="dxa"/>
            </w:tcMar>
            <w:vAlign w:val="center"/>
          </w:tcPr>
          <w:p w14:paraId="6663A407">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99" w:type="pct"/>
            <w:gridSpan w:val="2"/>
            <w:shd w:val="clear" w:color="auto" w:fill="auto"/>
            <w:tcMar>
              <w:left w:w="57" w:type="dxa"/>
              <w:right w:w="57" w:type="dxa"/>
            </w:tcMar>
            <w:vAlign w:val="center"/>
          </w:tcPr>
          <w:p w14:paraId="76871FE3">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default" w:ascii="微软雅黑" w:hAnsi="微软雅黑" w:eastAsia="微软雅黑" w:cs="微软雅黑"/>
                <w:color w:val="auto"/>
                <w:kern w:val="2"/>
                <w:sz w:val="15"/>
                <w:szCs w:val="15"/>
                <w:lang w:val="en-US" w:eastAsia="zh-CN" w:bidi="ar-SA"/>
              </w:rPr>
            </w:pPr>
            <w:r>
              <w:rPr>
                <w:rFonts w:hint="eastAsia" w:ascii="微软雅黑" w:hAnsi="微软雅黑" w:cs="微软雅黑"/>
                <w:color w:val="auto"/>
                <w:kern w:val="2"/>
                <w:sz w:val="15"/>
                <w:szCs w:val="15"/>
                <w:lang w:val="en-US" w:eastAsia="zh-CN"/>
              </w:rPr>
              <w:t>0</w:t>
            </w:r>
          </w:p>
        </w:tc>
        <w:tc>
          <w:tcPr>
            <w:tcW w:w="287" w:type="pct"/>
            <w:tcMar>
              <w:left w:w="57" w:type="dxa"/>
              <w:right w:w="57" w:type="dxa"/>
            </w:tcMar>
            <w:vAlign w:val="center"/>
          </w:tcPr>
          <w:p w14:paraId="47EFBD24">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56" w:type="pct"/>
            <w:tcMar>
              <w:left w:w="57" w:type="dxa"/>
              <w:right w:w="57" w:type="dxa"/>
            </w:tcMar>
            <w:vAlign w:val="center"/>
          </w:tcPr>
          <w:p w14:paraId="6C817A7F">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401" w:type="pct"/>
            <w:tcMar>
              <w:left w:w="57" w:type="dxa"/>
              <w:right w:w="57" w:type="dxa"/>
            </w:tcMar>
            <w:vAlign w:val="center"/>
          </w:tcPr>
          <w:p w14:paraId="340EAB8F">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w:t>
            </w:r>
          </w:p>
        </w:tc>
      </w:tr>
      <w:tr w14:paraId="144D9F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240" w:type="pct"/>
            <w:gridSpan w:val="2"/>
            <w:vMerge w:val="continue"/>
            <w:tcMar>
              <w:left w:w="57" w:type="dxa"/>
              <w:right w:w="57" w:type="dxa"/>
            </w:tcMar>
            <w:vAlign w:val="top"/>
          </w:tcPr>
          <w:p w14:paraId="39B88A0E">
            <w:pPr>
              <w:keepNext w:val="0"/>
              <w:keepLines w:val="0"/>
              <w:pageBreakBefore w:val="0"/>
              <w:kinsoku/>
              <w:wordWrap/>
              <w:overflowPunct/>
              <w:topLinePunct w:val="0"/>
              <w:autoSpaceDE/>
              <w:autoSpaceDN/>
              <w:bidi w:val="0"/>
              <w:adjustRightInd/>
              <w:snapToGrid w:val="0"/>
              <w:spacing w:after="0" w:afterLines="0" w:line="240" w:lineRule="auto"/>
              <w:ind w:left="0" w:right="0"/>
              <w:jc w:val="center"/>
              <w:textAlignment w:val="auto"/>
              <w:rPr>
                <w:rFonts w:hint="eastAsia" w:ascii="微软雅黑" w:hAnsi="微软雅黑" w:eastAsia="微软雅黑" w:cs="微软雅黑"/>
                <w:b/>
                <w:color w:val="FF0000"/>
                <w:kern w:val="2"/>
                <w:sz w:val="15"/>
                <w:szCs w:val="15"/>
              </w:rPr>
            </w:pPr>
          </w:p>
        </w:tc>
        <w:tc>
          <w:tcPr>
            <w:tcW w:w="505" w:type="pct"/>
            <w:tcMar>
              <w:left w:w="57" w:type="dxa"/>
              <w:right w:w="57" w:type="dxa"/>
            </w:tcMar>
            <w:vAlign w:val="top"/>
          </w:tcPr>
          <w:p w14:paraId="6228515B">
            <w:pPr>
              <w:keepNext w:val="0"/>
              <w:keepLines w:val="0"/>
              <w:pageBreakBefore w:val="0"/>
              <w:kinsoku/>
              <w:wordWrap/>
              <w:overflowPunct/>
              <w:topLinePunct w:val="0"/>
              <w:autoSpaceDE/>
              <w:autoSpaceDN/>
              <w:bidi w:val="0"/>
              <w:adjustRightInd/>
              <w:snapToGrid w:val="0"/>
              <w:spacing w:after="0" w:afterLines="0" w:line="240" w:lineRule="auto"/>
              <w:ind w:left="0" w:leftChars="0" w:right="0" w:rightChars="0"/>
              <w:jc w:val="center"/>
              <w:textAlignment w:val="auto"/>
              <w:rPr>
                <w:rFonts w:hint="eastAsia" w:ascii="微软雅黑" w:hAnsi="微软雅黑" w:eastAsia="微软雅黑" w:cs="微软雅黑"/>
                <w:b/>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b/>
                <w:color w:val="000000" w:themeColor="text1"/>
                <w:kern w:val="2"/>
                <w:sz w:val="15"/>
                <w:szCs w:val="15"/>
                <w14:textFill>
                  <w14:solidFill>
                    <w14:schemeClr w14:val="tx1"/>
                  </w14:solidFill>
                </w14:textFill>
              </w:rPr>
              <w:t>与项目有关的其他特征污染物</w:t>
            </w:r>
          </w:p>
        </w:tc>
        <w:tc>
          <w:tcPr>
            <w:tcW w:w="208" w:type="pct"/>
            <w:tcMar>
              <w:left w:w="57" w:type="dxa"/>
              <w:right w:w="57" w:type="dxa"/>
            </w:tcMar>
            <w:vAlign w:val="center"/>
          </w:tcPr>
          <w:p w14:paraId="5748AE77">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89" w:type="pct"/>
            <w:tcMar>
              <w:left w:w="57" w:type="dxa"/>
              <w:right w:w="57" w:type="dxa"/>
            </w:tcMar>
            <w:vAlign w:val="center"/>
          </w:tcPr>
          <w:p w14:paraId="09E31C29">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w:t>
            </w:r>
          </w:p>
        </w:tc>
        <w:tc>
          <w:tcPr>
            <w:tcW w:w="252" w:type="pct"/>
            <w:tcMar>
              <w:left w:w="57" w:type="dxa"/>
              <w:right w:w="57" w:type="dxa"/>
            </w:tcMar>
            <w:vAlign w:val="center"/>
          </w:tcPr>
          <w:p w14:paraId="514F8314">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eastAsia="zh-CN"/>
              </w:rPr>
            </w:pPr>
            <w:r>
              <w:rPr>
                <w:rFonts w:hint="eastAsia" w:ascii="微软雅黑" w:hAnsi="微软雅黑" w:cs="微软雅黑"/>
                <w:color w:val="auto"/>
                <w:kern w:val="2"/>
                <w:sz w:val="15"/>
                <w:szCs w:val="15"/>
                <w:lang w:val="en-US" w:eastAsia="zh-CN"/>
              </w:rPr>
              <w:t>-</w:t>
            </w:r>
          </w:p>
        </w:tc>
        <w:tc>
          <w:tcPr>
            <w:tcW w:w="320" w:type="pct"/>
            <w:tcMar>
              <w:left w:w="57" w:type="dxa"/>
              <w:right w:w="57" w:type="dxa"/>
            </w:tcMar>
            <w:vAlign w:val="center"/>
          </w:tcPr>
          <w:p w14:paraId="5110C4BB">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318" w:type="pct"/>
            <w:tcMar>
              <w:left w:w="57" w:type="dxa"/>
              <w:right w:w="57" w:type="dxa"/>
            </w:tcMar>
            <w:vAlign w:val="center"/>
          </w:tcPr>
          <w:p w14:paraId="14B59682">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rPr>
            </w:pPr>
            <w:r>
              <w:rPr>
                <w:rFonts w:hint="eastAsia" w:ascii="微软雅黑" w:hAnsi="微软雅黑" w:eastAsia="微软雅黑" w:cs="微软雅黑"/>
                <w:color w:val="auto"/>
                <w:kern w:val="2"/>
                <w:sz w:val="15"/>
                <w:szCs w:val="15"/>
                <w:lang w:val="en-US" w:eastAsia="zh-CN"/>
              </w:rPr>
              <w:t>-</w:t>
            </w:r>
          </w:p>
        </w:tc>
        <w:tc>
          <w:tcPr>
            <w:tcW w:w="525" w:type="pct"/>
            <w:tcMar>
              <w:left w:w="57" w:type="dxa"/>
              <w:right w:w="57" w:type="dxa"/>
            </w:tcMar>
            <w:vAlign w:val="center"/>
          </w:tcPr>
          <w:p w14:paraId="6C77DFEF">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auto"/>
                <w:kern w:val="2"/>
                <w:sz w:val="15"/>
                <w:szCs w:val="15"/>
                <w:lang w:val="en-US"/>
              </w:rPr>
            </w:pPr>
            <w:r>
              <w:rPr>
                <w:rFonts w:hint="eastAsia" w:ascii="微软雅黑" w:hAnsi="微软雅黑" w:cs="微软雅黑"/>
                <w:color w:val="auto"/>
                <w:kern w:val="2"/>
                <w:sz w:val="15"/>
                <w:szCs w:val="15"/>
                <w:lang w:val="en-US" w:eastAsia="zh-CN"/>
              </w:rPr>
              <w:t>-</w:t>
            </w:r>
          </w:p>
        </w:tc>
        <w:tc>
          <w:tcPr>
            <w:tcW w:w="393" w:type="pct"/>
            <w:tcMar>
              <w:left w:w="57" w:type="dxa"/>
              <w:right w:w="57" w:type="dxa"/>
            </w:tcMar>
            <w:vAlign w:val="center"/>
          </w:tcPr>
          <w:p w14:paraId="22621AD6">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rPr>
            </w:pPr>
            <w:r>
              <w:rPr>
                <w:rFonts w:hint="eastAsia" w:ascii="微软雅黑" w:hAnsi="微软雅黑" w:eastAsia="微软雅黑" w:cs="微软雅黑"/>
                <w:color w:val="auto"/>
                <w:kern w:val="2"/>
                <w:sz w:val="15"/>
                <w:szCs w:val="15"/>
                <w:lang w:val="en-US" w:eastAsia="zh-CN"/>
              </w:rPr>
              <w:t>-</w:t>
            </w:r>
          </w:p>
        </w:tc>
        <w:tc>
          <w:tcPr>
            <w:tcW w:w="399" w:type="pct"/>
            <w:gridSpan w:val="2"/>
            <w:tcMar>
              <w:left w:w="57" w:type="dxa"/>
              <w:right w:w="57" w:type="dxa"/>
            </w:tcMar>
            <w:vAlign w:val="center"/>
          </w:tcPr>
          <w:p w14:paraId="193CEB73">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c>
          <w:tcPr>
            <w:tcW w:w="399" w:type="pct"/>
            <w:gridSpan w:val="2"/>
            <w:shd w:val="clear" w:color="auto" w:fill="auto"/>
            <w:tcMar>
              <w:left w:w="57" w:type="dxa"/>
              <w:right w:w="57" w:type="dxa"/>
            </w:tcMar>
            <w:vAlign w:val="center"/>
          </w:tcPr>
          <w:p w14:paraId="0ACB3244">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lang w:val="en-US" w:eastAsia="zh-CN" w:bidi="ar-SA"/>
              </w:rPr>
            </w:pPr>
            <w:r>
              <w:rPr>
                <w:rFonts w:hint="eastAsia" w:ascii="微软雅黑" w:hAnsi="微软雅黑" w:cs="微软雅黑"/>
                <w:color w:val="auto"/>
                <w:kern w:val="2"/>
                <w:sz w:val="15"/>
                <w:szCs w:val="15"/>
                <w:lang w:val="en-US" w:eastAsia="zh-CN"/>
              </w:rPr>
              <w:t>-</w:t>
            </w:r>
          </w:p>
        </w:tc>
        <w:tc>
          <w:tcPr>
            <w:tcW w:w="287" w:type="pct"/>
            <w:tcMar>
              <w:left w:w="57" w:type="dxa"/>
              <w:right w:w="57" w:type="dxa"/>
            </w:tcMar>
            <w:vAlign w:val="center"/>
          </w:tcPr>
          <w:p w14:paraId="069C8FE7">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auto"/>
                <w:kern w:val="2"/>
                <w:sz w:val="15"/>
                <w:szCs w:val="15"/>
              </w:rPr>
            </w:pPr>
            <w:r>
              <w:rPr>
                <w:rFonts w:hint="eastAsia" w:ascii="微软雅黑" w:hAnsi="微软雅黑" w:eastAsia="微软雅黑" w:cs="微软雅黑"/>
                <w:color w:val="auto"/>
                <w:kern w:val="2"/>
                <w:sz w:val="15"/>
                <w:szCs w:val="15"/>
                <w:lang w:val="en-US" w:eastAsia="zh-CN"/>
              </w:rPr>
              <w:t>-</w:t>
            </w:r>
          </w:p>
        </w:tc>
        <w:tc>
          <w:tcPr>
            <w:tcW w:w="356" w:type="pct"/>
            <w:tcMar>
              <w:left w:w="57" w:type="dxa"/>
              <w:right w:w="57" w:type="dxa"/>
            </w:tcMar>
            <w:vAlign w:val="center"/>
          </w:tcPr>
          <w:p w14:paraId="61D493B4">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default" w:ascii="微软雅黑" w:hAnsi="微软雅黑" w:eastAsia="微软雅黑" w:cs="微软雅黑"/>
                <w:color w:val="000000" w:themeColor="text1"/>
                <w:kern w:val="2"/>
                <w:sz w:val="15"/>
                <w:szCs w:val="15"/>
                <w:lang w:val="en-US" w:eastAsia="zh-CN"/>
                <w14:textFill>
                  <w14:solidFill>
                    <w14:schemeClr w14:val="tx1"/>
                  </w14:solidFill>
                </w14:textFill>
              </w:rPr>
            </w:pPr>
            <w:r>
              <w:rPr>
                <w:rFonts w:hint="eastAsia" w:ascii="微软雅黑" w:hAnsi="微软雅黑" w:cs="微软雅黑"/>
                <w:color w:val="000000" w:themeColor="text1"/>
                <w:kern w:val="2"/>
                <w:sz w:val="15"/>
                <w:szCs w:val="15"/>
                <w:lang w:val="en-US" w:eastAsia="zh-CN"/>
                <w14:textFill>
                  <w14:solidFill>
                    <w14:schemeClr w14:val="tx1"/>
                  </w14:solidFill>
                </w14:textFill>
              </w:rPr>
              <w:t>-</w:t>
            </w:r>
          </w:p>
        </w:tc>
        <w:tc>
          <w:tcPr>
            <w:tcW w:w="401" w:type="pct"/>
            <w:tcMar>
              <w:left w:w="57" w:type="dxa"/>
              <w:right w:w="57" w:type="dxa"/>
            </w:tcMar>
            <w:vAlign w:val="center"/>
          </w:tcPr>
          <w:p w14:paraId="4431F11F">
            <w:pPr>
              <w:keepNext w:val="0"/>
              <w:keepLines w:val="0"/>
              <w:pageBreakBefore w:val="0"/>
              <w:widowControl w:val="0"/>
              <w:kinsoku/>
              <w:wordWrap/>
              <w:overflowPunct/>
              <w:topLinePunct w:val="0"/>
              <w:autoSpaceDE/>
              <w:autoSpaceDN/>
              <w:bidi w:val="0"/>
              <w:adjustRightInd/>
              <w:snapToGrid w:val="0"/>
              <w:spacing w:after="0" w:afterLines="0" w:line="240" w:lineRule="auto"/>
              <w:ind w:left="0" w:leftChars="0" w:right="0" w:rightChars="0" w:firstLine="0" w:firstLineChars="0"/>
              <w:jc w:val="center"/>
              <w:textAlignment w:val="auto"/>
              <w:rPr>
                <w:rFonts w:hint="eastAsia" w:ascii="微软雅黑" w:hAnsi="微软雅黑" w:eastAsia="微软雅黑" w:cs="微软雅黑"/>
                <w:color w:val="000000" w:themeColor="text1"/>
                <w:kern w:val="2"/>
                <w:sz w:val="15"/>
                <w:szCs w:val="15"/>
                <w14:textFill>
                  <w14:solidFill>
                    <w14:schemeClr w14:val="tx1"/>
                  </w14:solidFill>
                </w14:textFill>
              </w:rPr>
            </w:pPr>
            <w:r>
              <w:rPr>
                <w:rFonts w:hint="eastAsia" w:ascii="微软雅黑" w:hAnsi="微软雅黑" w:eastAsia="微软雅黑" w:cs="微软雅黑"/>
                <w:color w:val="000000" w:themeColor="text1"/>
                <w:kern w:val="2"/>
                <w:sz w:val="15"/>
                <w:szCs w:val="15"/>
                <w:lang w:val="en-US" w:eastAsia="zh-CN"/>
                <w14:textFill>
                  <w14:solidFill>
                    <w14:schemeClr w14:val="tx1"/>
                  </w14:solidFill>
                </w14:textFill>
              </w:rPr>
              <w:t>-</w:t>
            </w:r>
          </w:p>
        </w:tc>
      </w:tr>
    </w:tbl>
    <w:p w14:paraId="51632CEE">
      <w:pPr>
        <w:keepNext w:val="0"/>
        <w:keepLines w:val="0"/>
        <w:pageBreakBefore w:val="0"/>
        <w:widowControl/>
        <w:kinsoku/>
        <w:wordWrap/>
        <w:overflowPunct/>
        <w:topLinePunct w:val="0"/>
        <w:autoSpaceDE/>
        <w:autoSpaceDN/>
        <w:bidi w:val="0"/>
        <w:adjustRightInd/>
        <w:snapToGrid/>
        <w:spacing w:after="0" w:afterLines="0" w:line="240" w:lineRule="exact"/>
        <w:jc w:val="both"/>
        <w:textAlignment w:val="auto"/>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仿宋" w:cs="Times New Roman"/>
          <w:b/>
          <w:color w:val="000000" w:themeColor="text1"/>
          <w:kern w:val="0"/>
          <w:sz w:val="15"/>
          <w:szCs w:val="15"/>
          <w14:textFill>
            <w14:solidFill>
              <w14:schemeClr w14:val="tx1"/>
            </w14:solidFill>
          </w14:textFill>
        </w:rPr>
        <w:t>注</w:t>
      </w:r>
      <w:r>
        <w:rPr>
          <w:rFonts w:hint="default" w:ascii="Times New Roman" w:hAnsi="Times New Roman" w:eastAsia="仿宋" w:cs="Times New Roman"/>
          <w:color w:val="000000" w:themeColor="text1"/>
          <w:kern w:val="0"/>
          <w:sz w:val="15"/>
          <w:szCs w:val="15"/>
          <w14:textFill>
            <w14:solidFill>
              <w14:schemeClr w14:val="tx1"/>
            </w14:solidFill>
          </w14:textFill>
        </w:rPr>
        <w:t>：1、</w:t>
      </w:r>
      <w:r>
        <w:rPr>
          <w:rFonts w:hint="default" w:ascii="Times New Roman" w:hAnsi="Times New Roman" w:eastAsia="仿宋" w:cs="Times New Roman"/>
          <w:color w:val="000000" w:themeColor="text1"/>
          <w:spacing w:val="-4"/>
          <w:kern w:val="0"/>
          <w:sz w:val="15"/>
          <w:szCs w:val="15"/>
          <w14:textFill>
            <w14:solidFill>
              <w14:schemeClr w14:val="tx1"/>
            </w14:solidFill>
          </w14:textFill>
        </w:rPr>
        <w:t>排放增减量：（+）表示增加，（-）表示减少。2、(12)=(6)-(8)-(11)，</w:t>
      </w:r>
      <w:r>
        <w:rPr>
          <w:rFonts w:hint="eastAsia" w:ascii="Times New Roman" w:hAnsi="Times New Roman" w:eastAsia="仿宋" w:cs="Times New Roman"/>
          <w:color w:val="000000" w:themeColor="text1"/>
          <w:spacing w:val="-4"/>
          <w:kern w:val="0"/>
          <w:sz w:val="15"/>
          <w:szCs w:val="15"/>
          <w:lang w:val="en-US" w:eastAsia="zh-CN"/>
          <w14:textFill>
            <w14:solidFill>
              <w14:schemeClr w14:val="tx1"/>
            </w14:solidFill>
          </w14:textFill>
        </w:rPr>
        <w:t>(9)</w:t>
      </w:r>
      <w:r>
        <w:rPr>
          <w:rFonts w:hint="default" w:ascii="Times New Roman" w:hAnsi="Times New Roman" w:eastAsia="仿宋" w:cs="Times New Roman"/>
          <w:color w:val="000000" w:themeColor="text1"/>
          <w:spacing w:val="-4"/>
          <w:kern w:val="0"/>
          <w:sz w:val="15"/>
          <w:szCs w:val="15"/>
          <w14:textFill>
            <w14:solidFill>
              <w14:schemeClr w14:val="tx1"/>
            </w14:solidFill>
          </w14:textFill>
        </w:rPr>
        <w:t>=(4)-(5)-(8)-(11)+</w:t>
      </w:r>
      <w:r>
        <w:rPr>
          <w:rFonts w:hint="eastAsia" w:ascii="Times New Roman" w:hAnsi="Times New Roman" w:eastAsia="仿宋" w:cs="Times New Roman"/>
          <w:color w:val="000000" w:themeColor="text1"/>
          <w:spacing w:val="-4"/>
          <w:kern w:val="0"/>
          <w:sz w:val="15"/>
          <w:szCs w:val="15"/>
          <w:lang w:val="en-US" w:eastAsia="zh-CN"/>
          <w14:textFill>
            <w14:solidFill>
              <w14:schemeClr w14:val="tx1"/>
            </w14:solidFill>
          </w14:textFill>
        </w:rPr>
        <w:t>(1)</w:t>
      </w:r>
      <w:r>
        <w:rPr>
          <w:rFonts w:hint="default" w:ascii="Times New Roman" w:hAnsi="Times New Roman" w:eastAsia="仿宋" w:cs="Times New Roman"/>
          <w:color w:val="000000" w:themeColor="text1"/>
          <w:spacing w:val="-4"/>
          <w:kern w:val="0"/>
          <w:sz w:val="15"/>
          <w:szCs w:val="15"/>
          <w14:textFill>
            <w14:solidFill>
              <w14:schemeClr w14:val="tx1"/>
            </w14:solidFill>
          </w14:textFill>
        </w:rPr>
        <w:t>。3、计量单位：废水排放量——万吨/年</w:t>
      </w:r>
      <w:r>
        <w:rPr>
          <w:rFonts w:hint="default" w:ascii="Times New Roman" w:hAnsi="Times New Roman" w:eastAsia="仿宋" w:cs="Times New Roman"/>
          <w:color w:val="000000" w:themeColor="text1"/>
          <w:spacing w:val="-4"/>
          <w:kern w:val="0"/>
          <w:sz w:val="15"/>
          <w:szCs w:val="15"/>
          <w:lang w:eastAsia="zh-CN"/>
          <w14:textFill>
            <w14:solidFill>
              <w14:schemeClr w14:val="tx1"/>
            </w14:solidFill>
          </w14:textFill>
        </w:rPr>
        <w:t>；</w:t>
      </w:r>
      <w:r>
        <w:rPr>
          <w:rFonts w:hint="default" w:ascii="Times New Roman" w:hAnsi="Times New Roman" w:eastAsia="仿宋" w:cs="Times New Roman"/>
          <w:color w:val="000000" w:themeColor="text1"/>
          <w:spacing w:val="-4"/>
          <w:kern w:val="0"/>
          <w:sz w:val="15"/>
          <w:szCs w:val="15"/>
          <w14:textFill>
            <w14:solidFill>
              <w14:schemeClr w14:val="tx1"/>
            </w14:solidFill>
          </w14:textFill>
        </w:rPr>
        <w:t>废气排放量——万标立方米/年</w:t>
      </w:r>
      <w:r>
        <w:rPr>
          <w:rFonts w:hint="default" w:ascii="Times New Roman" w:hAnsi="Times New Roman" w:eastAsia="仿宋" w:cs="Times New Roman"/>
          <w:color w:val="000000" w:themeColor="text1"/>
          <w:spacing w:val="-4"/>
          <w:kern w:val="0"/>
          <w:sz w:val="15"/>
          <w:szCs w:val="15"/>
          <w:lang w:eastAsia="zh-CN"/>
          <w14:textFill>
            <w14:solidFill>
              <w14:schemeClr w14:val="tx1"/>
            </w14:solidFill>
          </w14:textFill>
        </w:rPr>
        <w:t>；</w:t>
      </w:r>
      <w:r>
        <w:rPr>
          <w:rFonts w:hint="default" w:ascii="Times New Roman" w:hAnsi="Times New Roman" w:eastAsia="仿宋" w:cs="Times New Roman"/>
          <w:color w:val="000000" w:themeColor="text1"/>
          <w:spacing w:val="-4"/>
          <w:kern w:val="0"/>
          <w:sz w:val="15"/>
          <w:szCs w:val="15"/>
          <w14:textFill>
            <w14:solidFill>
              <w14:schemeClr w14:val="tx1"/>
            </w14:solidFill>
          </w14:textFill>
        </w:rPr>
        <w:t>工业固体废物排放</w:t>
      </w:r>
      <w:r>
        <w:rPr>
          <w:rFonts w:hint="default" w:ascii="Times New Roman" w:hAnsi="Times New Roman" w:eastAsia="仿宋" w:cs="Times New Roman"/>
          <w:color w:val="000000" w:themeColor="text1"/>
          <w:kern w:val="0"/>
          <w:sz w:val="15"/>
          <w:szCs w:val="15"/>
          <w14:textFill>
            <w14:solidFill>
              <w14:schemeClr w14:val="tx1"/>
            </w14:solidFill>
          </w14:textFill>
        </w:rPr>
        <w:t>量——吨/年</w:t>
      </w:r>
      <w:r>
        <w:rPr>
          <w:rFonts w:hint="default" w:ascii="Times New Roman" w:hAnsi="Times New Roman" w:eastAsia="仿宋" w:cs="Times New Roman"/>
          <w:color w:val="000000" w:themeColor="text1"/>
          <w:kern w:val="0"/>
          <w:sz w:val="15"/>
          <w:szCs w:val="15"/>
          <w:lang w:eastAsia="zh-CN"/>
          <w14:textFill>
            <w14:solidFill>
              <w14:schemeClr w14:val="tx1"/>
            </w14:solidFill>
          </w14:textFill>
        </w:rPr>
        <w:t>；</w:t>
      </w:r>
      <w:r>
        <w:rPr>
          <w:rFonts w:hint="default" w:ascii="Times New Roman" w:hAnsi="Times New Roman" w:eastAsia="仿宋" w:cs="Times New Roman"/>
          <w:color w:val="000000" w:themeColor="text1"/>
          <w:kern w:val="0"/>
          <w:sz w:val="15"/>
          <w:szCs w:val="15"/>
          <w14:textFill>
            <w14:solidFill>
              <w14:schemeClr w14:val="tx1"/>
            </w14:solidFill>
          </w14:textFill>
        </w:rPr>
        <w:t>水污染物排放浓度——毫克</w:t>
      </w:r>
      <w:r>
        <w:rPr>
          <w:rFonts w:hint="default" w:ascii="Times New Roman" w:hAnsi="Times New Roman" w:eastAsia="仿宋" w:cs="Times New Roman"/>
          <w:color w:val="000000" w:themeColor="text1"/>
          <w:kern w:val="0"/>
          <w:sz w:val="15"/>
          <w:szCs w:val="15"/>
          <w:lang w:val="en-US" w:eastAsia="zh-CN"/>
          <w14:textFill>
            <w14:solidFill>
              <w14:schemeClr w14:val="tx1"/>
            </w14:solidFill>
          </w14:textFill>
        </w:rPr>
        <w:t>/升；</w:t>
      </w:r>
      <w:r>
        <w:rPr>
          <w:rFonts w:hint="default" w:ascii="Times New Roman" w:hAnsi="Times New Roman" w:eastAsia="仿宋" w:cs="Times New Roman"/>
          <w:color w:val="000000" w:themeColor="text1"/>
          <w:spacing w:val="-4"/>
          <w:kern w:val="0"/>
          <w:sz w:val="15"/>
          <w:szCs w:val="15"/>
          <w:lang w:val="en-US" w:eastAsia="zh-CN"/>
          <w14:textFill>
            <w14:solidFill>
              <w14:schemeClr w14:val="tx1"/>
            </w14:solidFill>
          </w14:textFill>
        </w:rPr>
        <w:t>气污染物排放浓度——毫克/立方米。</w:t>
      </w:r>
    </w:p>
    <w:sectPr>
      <w:pgSz w:w="16838" w:h="11906" w:orient="landscape"/>
      <w:pgMar w:top="720" w:right="720" w:bottom="720" w:left="720" w:header="0" w:footer="227" w:gutter="0"/>
      <w:pgBorders>
        <w:top w:val="none" w:sz="0" w:space="0"/>
        <w:left w:val="none" w:sz="0" w:space="0"/>
        <w:bottom w:val="none" w:sz="0" w:space="0"/>
        <w:right w:val="none" w:sz="0" w:space="0"/>
      </w:pgBorders>
      <w:pgNumType w:fmt="decimal"/>
      <w:cols w:space="0" w:num="1"/>
      <w:rtlGutter w:val="0"/>
      <w:docGrid w:type="line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CB090">
    <w:pPr>
      <w:pStyle w:val="14"/>
      <w:ind w:right="360"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2EE52">
    <w:pPr>
      <w:pStyle w:val="14"/>
      <w:framePr w:wrap="around" w:vAnchor="text" w:hAnchor="margin" w:xAlign="outside" w:y="1"/>
      <w:rPr>
        <w:rStyle w:val="43"/>
      </w:rPr>
    </w:pPr>
    <w:r>
      <w:fldChar w:fldCharType="begin"/>
    </w:r>
    <w:r>
      <w:rPr>
        <w:rStyle w:val="43"/>
      </w:rPr>
      <w:instrText xml:space="preserve">PAGE  </w:instrText>
    </w:r>
    <w:r>
      <w:fldChar w:fldCharType="separate"/>
    </w:r>
    <w:r>
      <w:rPr>
        <w:rStyle w:val="43"/>
      </w:rPr>
      <w:t>36</w:t>
    </w:r>
    <w:r>
      <w:fldChar w:fldCharType="end"/>
    </w:r>
  </w:p>
  <w:p w14:paraId="74261762">
    <w:pPr>
      <w:pStyle w:val="1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B00D8">
    <w:pPr>
      <w:pStyle w:val="14"/>
      <w:spacing w:after="0" w:afterLines="0"/>
      <w:ind w:right="360"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59916">
    <w:pPr>
      <w:pStyle w:val="14"/>
      <w:spacing w:after="0" w:afterLines="0"/>
      <w:ind w:right="360" w:firstLine="36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E8061">
    <w:pPr>
      <w:pStyle w:val="14"/>
      <w:spacing w:after="0" w:afterLines="0"/>
      <w:ind w:right="360" w:firstLine="36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DE897">
    <w:pPr>
      <w:pStyle w:val="14"/>
      <w:spacing w:after="0" w:afterLines="0"/>
      <w:ind w:right="360" w:firstLine="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01FF9">
                          <w:pPr>
                            <w:pStyle w:val="1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14:paraId="28301FF9">
                    <w:pPr>
                      <w:pStyle w:val="1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655D8">
    <w:pPr>
      <w:pStyle w:val="14"/>
      <w:spacing w:after="0" w:afterLines="0"/>
      <w:ind w:right="360" w:firstLine="360"/>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posOffset>2564765</wp:posOffset>
              </wp:positionH>
              <wp:positionV relativeFrom="paragraph">
                <wp:posOffset>0</wp:posOffset>
              </wp:positionV>
              <wp:extent cx="2286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286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4C64E9">
                          <w:pPr>
                            <w:pStyle w:val="1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23</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1.95pt;margin-top:0pt;height:144pt;width:18pt;mso-position-horizontal-relative:margin;z-index:251661312;mso-width-relative:page;mso-height-relative:page;" filled="f" stroked="f" coordsize="21600,21600" o:gfxdata="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vJpQPWAAAACAEAAA8AAAAAAAAAAQAgAAAAIgAAAGRycy9kb3ducmV2&#10;LnhtbFBLAQIUABQAAAAIAIdO4kBqcDNoNwIAAGQEAAAOAAAAAAAAAAEAIAAAACUBAABkcnMvZTJv&#10;RG9jLnhtbFBLBQYAAAAABgAGAFkBAADOBQAAAAA=&#10;">
              <v:fill on="f" focussize="0,0"/>
              <v:stroke on="f" weight="0.5pt"/>
              <v:imagedata o:title=""/>
              <o:lock v:ext="edit" aspectratio="f"/>
              <v:textbox inset="0mm,0mm,0mm,0mm" style="mso-fit-shape-to-text:t;">
                <w:txbxContent>
                  <w:p w14:paraId="494C64E9">
                    <w:pPr>
                      <w:pStyle w:val="1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23</w:t>
                    </w:r>
                    <w:r>
                      <w:rPr>
                        <w:rFonts w:hint="default" w:ascii="Times New Roman" w:hAnsi="Times New Roman" w:cs="Times New Roma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D701E">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2159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2159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8552A7">
                          <w:pPr>
                            <w:pStyle w:val="1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7pt;mso-position-horizontal:center;mso-position-horizontal-relative:margin;z-index:251662336;mso-width-relative:page;mso-height-relative:page;" filled="f" stroked="f" coordsize="21600,21600" o:gfxdata="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QkVa5tMAAAAEAQAADwAAAAAAAAABACAAAAAiAAAAZHJzL2Rvd25yZXYu&#10;eG1sUEsBAhQAFAAAAAgAh07iQFED5J85AgAAZAQAAA4AAAAAAAAAAQAgAAAAIgEAAGRycy9lMm9E&#10;b2MueG1sUEsFBgAAAAAGAAYAWQEAAM0FAAAAAA==&#10;">
              <v:fill on="f" focussize="0,0"/>
              <v:stroke on="f" weight="0.5pt"/>
              <v:imagedata o:title=""/>
              <o:lock v:ext="edit" aspectratio="f"/>
              <v:textbox inset="0mm,0mm,0mm,0mm" style="mso-fit-shape-to-text:t;">
                <w:txbxContent>
                  <w:p w14:paraId="6A8552A7">
                    <w:pPr>
                      <w:pStyle w:val="14"/>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30</w:t>
                    </w:r>
                    <w:r>
                      <w:rPr>
                        <w:rFonts w:hint="default" w:ascii="Times New Roman" w:hAnsi="Times New Roman" w:cs="Times New Roma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8A8A7">
    <w:pPr>
      <w:pStyle w:val="14"/>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8A9B3">
    <w:pPr>
      <w:pStyle w:val="14"/>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BAF37">
    <w:pPr>
      <w:pStyle w:val="14"/>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DF413">
    <w:pPr>
      <w:tabs>
        <w:tab w:val="center" w:pos="4153"/>
        <w:tab w:val="right" w:pos="8306"/>
      </w:tabs>
      <w:snapToGrid w:val="0"/>
      <w:spacing w:after="0" w:line="360" w:lineRule="auto"/>
      <w:jc w:val="left"/>
      <w:rPr>
        <w:rFonts w:hint="eastAsia" w:ascii="宋体" w:hAnsi="宋体" w:eastAsia="宋体" w:cs="仿宋"/>
        <w:kern w:val="0"/>
        <w:sz w:val="28"/>
        <w:szCs w:val="28"/>
        <w:lang w:val="en-US" w:eastAsia="zh-CN" w:bidi="ar-S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E1F18">
    <w:pPr>
      <w:pStyle w:val="15"/>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D52BFE"/>
    <w:multiLevelType w:val="singleLevel"/>
    <w:tmpl w:val="13D52BFE"/>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1">
    <w:nsid w:val="7806E3B5"/>
    <w:multiLevelType w:val="singleLevel"/>
    <w:tmpl w:val="7806E3B5"/>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汪晓晖">
    <w15:presenceInfo w15:providerId="WPS Office" w15:userId="26901103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hNjMzNGEyYTAzNmM3YTZkYTkxNzgyZTk1ZjYwMTEifQ=="/>
    <w:docVar w:name="KSO_WPS_MARK_KEY" w:val="d25b9f2a-478c-46b6-80e9-e9701a613ed2"/>
  </w:docVars>
  <w:rsids>
    <w:rsidRoot w:val="5A0E0674"/>
    <w:rsid w:val="000515D7"/>
    <w:rsid w:val="000E5D71"/>
    <w:rsid w:val="00103897"/>
    <w:rsid w:val="00121F55"/>
    <w:rsid w:val="00164C26"/>
    <w:rsid w:val="001E387A"/>
    <w:rsid w:val="0020619A"/>
    <w:rsid w:val="00207852"/>
    <w:rsid w:val="00245594"/>
    <w:rsid w:val="002E687C"/>
    <w:rsid w:val="00333A2A"/>
    <w:rsid w:val="003532FE"/>
    <w:rsid w:val="003E2E64"/>
    <w:rsid w:val="00417EF4"/>
    <w:rsid w:val="00494FFB"/>
    <w:rsid w:val="004C3D27"/>
    <w:rsid w:val="004C76AC"/>
    <w:rsid w:val="005A2D64"/>
    <w:rsid w:val="005F65CD"/>
    <w:rsid w:val="00692FA7"/>
    <w:rsid w:val="00757B9E"/>
    <w:rsid w:val="007958E0"/>
    <w:rsid w:val="007C717F"/>
    <w:rsid w:val="00846033"/>
    <w:rsid w:val="0087713B"/>
    <w:rsid w:val="008B5614"/>
    <w:rsid w:val="008E521B"/>
    <w:rsid w:val="009224FE"/>
    <w:rsid w:val="00927943"/>
    <w:rsid w:val="0097037E"/>
    <w:rsid w:val="00A336D6"/>
    <w:rsid w:val="00A40483"/>
    <w:rsid w:val="00AD7338"/>
    <w:rsid w:val="00B701B7"/>
    <w:rsid w:val="00BA7CA7"/>
    <w:rsid w:val="00CA613C"/>
    <w:rsid w:val="00CD3536"/>
    <w:rsid w:val="00CD3DE4"/>
    <w:rsid w:val="00D20B4D"/>
    <w:rsid w:val="00D23242"/>
    <w:rsid w:val="00D64AE1"/>
    <w:rsid w:val="00DF3269"/>
    <w:rsid w:val="00E13486"/>
    <w:rsid w:val="00EA03D3"/>
    <w:rsid w:val="00EF5BA2"/>
    <w:rsid w:val="00F211EF"/>
    <w:rsid w:val="00F46D15"/>
    <w:rsid w:val="00F66F31"/>
    <w:rsid w:val="00FC02BF"/>
    <w:rsid w:val="010A29DC"/>
    <w:rsid w:val="010D6029"/>
    <w:rsid w:val="011042DA"/>
    <w:rsid w:val="011078C7"/>
    <w:rsid w:val="01123429"/>
    <w:rsid w:val="0112363F"/>
    <w:rsid w:val="01141165"/>
    <w:rsid w:val="01172A03"/>
    <w:rsid w:val="011A24F4"/>
    <w:rsid w:val="01227446"/>
    <w:rsid w:val="0127533C"/>
    <w:rsid w:val="012810B4"/>
    <w:rsid w:val="012C2953"/>
    <w:rsid w:val="012D0479"/>
    <w:rsid w:val="012D2227"/>
    <w:rsid w:val="0132783D"/>
    <w:rsid w:val="013278C9"/>
    <w:rsid w:val="013435B5"/>
    <w:rsid w:val="01347A59"/>
    <w:rsid w:val="013B2B96"/>
    <w:rsid w:val="014C5129"/>
    <w:rsid w:val="014C6B51"/>
    <w:rsid w:val="01521C8D"/>
    <w:rsid w:val="01545A05"/>
    <w:rsid w:val="0156352C"/>
    <w:rsid w:val="015754F6"/>
    <w:rsid w:val="015E4AD6"/>
    <w:rsid w:val="01610122"/>
    <w:rsid w:val="0168325F"/>
    <w:rsid w:val="016E2F6B"/>
    <w:rsid w:val="016F45ED"/>
    <w:rsid w:val="01763BCE"/>
    <w:rsid w:val="0176597C"/>
    <w:rsid w:val="017C5E22"/>
    <w:rsid w:val="01826A17"/>
    <w:rsid w:val="01875DDB"/>
    <w:rsid w:val="018E53BB"/>
    <w:rsid w:val="01973B44"/>
    <w:rsid w:val="01A050EF"/>
    <w:rsid w:val="01A06E9D"/>
    <w:rsid w:val="01A22C15"/>
    <w:rsid w:val="01A249C3"/>
    <w:rsid w:val="01A3073B"/>
    <w:rsid w:val="01A544B3"/>
    <w:rsid w:val="01AD5116"/>
    <w:rsid w:val="01BB3CD7"/>
    <w:rsid w:val="01BD7A4F"/>
    <w:rsid w:val="01D654C8"/>
    <w:rsid w:val="01D84888"/>
    <w:rsid w:val="01D95F0B"/>
    <w:rsid w:val="01E274B5"/>
    <w:rsid w:val="01E52B01"/>
    <w:rsid w:val="01E64675"/>
    <w:rsid w:val="01E90844"/>
    <w:rsid w:val="01EC20E2"/>
    <w:rsid w:val="01EC7D14"/>
    <w:rsid w:val="01F36FCC"/>
    <w:rsid w:val="01F80A87"/>
    <w:rsid w:val="01FB40D3"/>
    <w:rsid w:val="01FF1E15"/>
    <w:rsid w:val="02040B9C"/>
    <w:rsid w:val="02054F52"/>
    <w:rsid w:val="02092C94"/>
    <w:rsid w:val="021253AB"/>
    <w:rsid w:val="02160F0D"/>
    <w:rsid w:val="02182ED7"/>
    <w:rsid w:val="02241630"/>
    <w:rsid w:val="0224187C"/>
    <w:rsid w:val="02247ACE"/>
    <w:rsid w:val="02251150"/>
    <w:rsid w:val="022A49B8"/>
    <w:rsid w:val="022C24DE"/>
    <w:rsid w:val="022E26FA"/>
    <w:rsid w:val="023575E5"/>
    <w:rsid w:val="023B0973"/>
    <w:rsid w:val="023F66B6"/>
    <w:rsid w:val="02441F1E"/>
    <w:rsid w:val="024617F2"/>
    <w:rsid w:val="02461F5B"/>
    <w:rsid w:val="0249783D"/>
    <w:rsid w:val="02497CA0"/>
    <w:rsid w:val="024B505A"/>
    <w:rsid w:val="025739FF"/>
    <w:rsid w:val="02581525"/>
    <w:rsid w:val="025A5133"/>
    <w:rsid w:val="026223A4"/>
    <w:rsid w:val="026305F6"/>
    <w:rsid w:val="02654FC5"/>
    <w:rsid w:val="02671768"/>
    <w:rsid w:val="02685C0C"/>
    <w:rsid w:val="027C5151"/>
    <w:rsid w:val="02810A7C"/>
    <w:rsid w:val="0288005D"/>
    <w:rsid w:val="028916DF"/>
    <w:rsid w:val="02954528"/>
    <w:rsid w:val="029702A0"/>
    <w:rsid w:val="0298454D"/>
    <w:rsid w:val="02A56AE2"/>
    <w:rsid w:val="02A76009"/>
    <w:rsid w:val="02AB3D4B"/>
    <w:rsid w:val="02AB78A7"/>
    <w:rsid w:val="02AD361F"/>
    <w:rsid w:val="02AE7397"/>
    <w:rsid w:val="02B50726"/>
    <w:rsid w:val="02B7449E"/>
    <w:rsid w:val="02C866AB"/>
    <w:rsid w:val="02D36DFE"/>
    <w:rsid w:val="02E0146A"/>
    <w:rsid w:val="02E1151B"/>
    <w:rsid w:val="02E319F4"/>
    <w:rsid w:val="02E34968"/>
    <w:rsid w:val="02E64D83"/>
    <w:rsid w:val="02E828A9"/>
    <w:rsid w:val="02F0175E"/>
    <w:rsid w:val="02F254D6"/>
    <w:rsid w:val="02F456F2"/>
    <w:rsid w:val="02F53218"/>
    <w:rsid w:val="02FC45A7"/>
    <w:rsid w:val="03045209"/>
    <w:rsid w:val="03060BED"/>
    <w:rsid w:val="03094A24"/>
    <w:rsid w:val="030D0562"/>
    <w:rsid w:val="03195159"/>
    <w:rsid w:val="031B2C7F"/>
    <w:rsid w:val="03200295"/>
    <w:rsid w:val="03280EF8"/>
    <w:rsid w:val="032D4760"/>
    <w:rsid w:val="03324053"/>
    <w:rsid w:val="033A0C2B"/>
    <w:rsid w:val="033E4BBF"/>
    <w:rsid w:val="03416159"/>
    <w:rsid w:val="03455F4E"/>
    <w:rsid w:val="034675D0"/>
    <w:rsid w:val="034B1B41"/>
    <w:rsid w:val="034C108A"/>
    <w:rsid w:val="034D3112"/>
    <w:rsid w:val="03575C81"/>
    <w:rsid w:val="035937A7"/>
    <w:rsid w:val="035E2B6B"/>
    <w:rsid w:val="036363D4"/>
    <w:rsid w:val="036B7036"/>
    <w:rsid w:val="036C34DA"/>
    <w:rsid w:val="036E2742"/>
    <w:rsid w:val="036F4D79"/>
    <w:rsid w:val="037203C5"/>
    <w:rsid w:val="03767EB5"/>
    <w:rsid w:val="037979A5"/>
    <w:rsid w:val="03800D34"/>
    <w:rsid w:val="03857686"/>
    <w:rsid w:val="03884779"/>
    <w:rsid w:val="03920A67"/>
    <w:rsid w:val="039667A9"/>
    <w:rsid w:val="039C058F"/>
    <w:rsid w:val="039C407F"/>
    <w:rsid w:val="03A26EFC"/>
    <w:rsid w:val="03A92091"/>
    <w:rsid w:val="03A951F3"/>
    <w:rsid w:val="03AC1B29"/>
    <w:rsid w:val="03B15391"/>
    <w:rsid w:val="03B94246"/>
    <w:rsid w:val="03BD3D36"/>
    <w:rsid w:val="03C055D4"/>
    <w:rsid w:val="03C36E72"/>
    <w:rsid w:val="03C926DB"/>
    <w:rsid w:val="03D177E1"/>
    <w:rsid w:val="03D33559"/>
    <w:rsid w:val="03E07A24"/>
    <w:rsid w:val="03E2554B"/>
    <w:rsid w:val="03EA2651"/>
    <w:rsid w:val="03EF5EB9"/>
    <w:rsid w:val="03F434D0"/>
    <w:rsid w:val="03F92894"/>
    <w:rsid w:val="03FD05D6"/>
    <w:rsid w:val="03FD228A"/>
    <w:rsid w:val="0400221C"/>
    <w:rsid w:val="04025BED"/>
    <w:rsid w:val="04041965"/>
    <w:rsid w:val="04073203"/>
    <w:rsid w:val="040C6A6B"/>
    <w:rsid w:val="04194CE4"/>
    <w:rsid w:val="04207E21"/>
    <w:rsid w:val="04212517"/>
    <w:rsid w:val="04224C7B"/>
    <w:rsid w:val="0428226C"/>
    <w:rsid w:val="042A0CA0"/>
    <w:rsid w:val="042E253E"/>
    <w:rsid w:val="042F62B6"/>
    <w:rsid w:val="04310280"/>
    <w:rsid w:val="04367644"/>
    <w:rsid w:val="04402271"/>
    <w:rsid w:val="04406715"/>
    <w:rsid w:val="044A30F0"/>
    <w:rsid w:val="044B7594"/>
    <w:rsid w:val="044C0C16"/>
    <w:rsid w:val="044C50BA"/>
    <w:rsid w:val="044E103A"/>
    <w:rsid w:val="044F0706"/>
    <w:rsid w:val="04754611"/>
    <w:rsid w:val="047D1717"/>
    <w:rsid w:val="047D2B5A"/>
    <w:rsid w:val="047D799C"/>
    <w:rsid w:val="04844854"/>
    <w:rsid w:val="048B5BE2"/>
    <w:rsid w:val="0490144A"/>
    <w:rsid w:val="04966335"/>
    <w:rsid w:val="04983E5B"/>
    <w:rsid w:val="049D57DC"/>
    <w:rsid w:val="04A0699F"/>
    <w:rsid w:val="04A70542"/>
    <w:rsid w:val="04B50EB1"/>
    <w:rsid w:val="04B862AB"/>
    <w:rsid w:val="04B87B27"/>
    <w:rsid w:val="04BC3254"/>
    <w:rsid w:val="04C9670A"/>
    <w:rsid w:val="04CB5FDF"/>
    <w:rsid w:val="04CF3645"/>
    <w:rsid w:val="04D07A99"/>
    <w:rsid w:val="04D255BF"/>
    <w:rsid w:val="04D72BD5"/>
    <w:rsid w:val="04DA26C6"/>
    <w:rsid w:val="04DD3F64"/>
    <w:rsid w:val="04DD5D12"/>
    <w:rsid w:val="04E6106A"/>
    <w:rsid w:val="04EB3BB5"/>
    <w:rsid w:val="04EE6171"/>
    <w:rsid w:val="04EF43C3"/>
    <w:rsid w:val="04F03C97"/>
    <w:rsid w:val="04F63474"/>
    <w:rsid w:val="04FE7A3D"/>
    <w:rsid w:val="05015EA4"/>
    <w:rsid w:val="05092FAB"/>
    <w:rsid w:val="050D4849"/>
    <w:rsid w:val="051C4A8C"/>
    <w:rsid w:val="051E6510"/>
    <w:rsid w:val="051E6A56"/>
    <w:rsid w:val="05216546"/>
    <w:rsid w:val="0523406D"/>
    <w:rsid w:val="052E47BF"/>
    <w:rsid w:val="05353DA0"/>
    <w:rsid w:val="053E4A03"/>
    <w:rsid w:val="053F69CD"/>
    <w:rsid w:val="054F4E62"/>
    <w:rsid w:val="05502988"/>
    <w:rsid w:val="05535400"/>
    <w:rsid w:val="05551D4C"/>
    <w:rsid w:val="0559183C"/>
    <w:rsid w:val="055A55B4"/>
    <w:rsid w:val="055C30DB"/>
    <w:rsid w:val="055E0168"/>
    <w:rsid w:val="055E6E53"/>
    <w:rsid w:val="0560706F"/>
    <w:rsid w:val="05656433"/>
    <w:rsid w:val="05662134"/>
    <w:rsid w:val="05681A7F"/>
    <w:rsid w:val="05687CD1"/>
    <w:rsid w:val="056A3A4A"/>
    <w:rsid w:val="05793C8D"/>
    <w:rsid w:val="05816FE5"/>
    <w:rsid w:val="05852631"/>
    <w:rsid w:val="05856AD5"/>
    <w:rsid w:val="058D14E6"/>
    <w:rsid w:val="058D187B"/>
    <w:rsid w:val="05917228"/>
    <w:rsid w:val="05946D18"/>
    <w:rsid w:val="059A3C03"/>
    <w:rsid w:val="059E1945"/>
    <w:rsid w:val="05A625A8"/>
    <w:rsid w:val="05AA02EA"/>
    <w:rsid w:val="05B20F4D"/>
    <w:rsid w:val="05B42F17"/>
    <w:rsid w:val="05C018BB"/>
    <w:rsid w:val="05C80770"/>
    <w:rsid w:val="05C869C2"/>
    <w:rsid w:val="05CA273A"/>
    <w:rsid w:val="05D37841"/>
    <w:rsid w:val="05D47115"/>
    <w:rsid w:val="05D610DF"/>
    <w:rsid w:val="05D63DBE"/>
    <w:rsid w:val="05DB04A3"/>
    <w:rsid w:val="05DB5ACD"/>
    <w:rsid w:val="05E16C35"/>
    <w:rsid w:val="05E80E12"/>
    <w:rsid w:val="05EF7925"/>
    <w:rsid w:val="05F11A75"/>
    <w:rsid w:val="05FA4E5A"/>
    <w:rsid w:val="05FB6D97"/>
    <w:rsid w:val="06020126"/>
    <w:rsid w:val="060D2627"/>
    <w:rsid w:val="06110369"/>
    <w:rsid w:val="0616597F"/>
    <w:rsid w:val="06175254"/>
    <w:rsid w:val="061D286A"/>
    <w:rsid w:val="06240673"/>
    <w:rsid w:val="06257970"/>
    <w:rsid w:val="062A31D9"/>
    <w:rsid w:val="063B43C4"/>
    <w:rsid w:val="063D2F0C"/>
    <w:rsid w:val="063F4ED6"/>
    <w:rsid w:val="0644429B"/>
    <w:rsid w:val="064F2C3F"/>
    <w:rsid w:val="06530982"/>
    <w:rsid w:val="065344DE"/>
    <w:rsid w:val="06554C8E"/>
    <w:rsid w:val="06563FCE"/>
    <w:rsid w:val="06565D7C"/>
    <w:rsid w:val="06594D7C"/>
    <w:rsid w:val="06620BC5"/>
    <w:rsid w:val="06695AAF"/>
    <w:rsid w:val="066E30C6"/>
    <w:rsid w:val="06734B80"/>
    <w:rsid w:val="0676641E"/>
    <w:rsid w:val="067D155B"/>
    <w:rsid w:val="068A3C77"/>
    <w:rsid w:val="068B011B"/>
    <w:rsid w:val="0696781A"/>
    <w:rsid w:val="06A20FC1"/>
    <w:rsid w:val="06A74829"/>
    <w:rsid w:val="06AE7966"/>
    <w:rsid w:val="06B238FA"/>
    <w:rsid w:val="06B31420"/>
    <w:rsid w:val="06B64A6C"/>
    <w:rsid w:val="06BE2A9A"/>
    <w:rsid w:val="06C13B3D"/>
    <w:rsid w:val="06C278B5"/>
    <w:rsid w:val="06C61153"/>
    <w:rsid w:val="06D51397"/>
    <w:rsid w:val="06D66EBD"/>
    <w:rsid w:val="06D823A8"/>
    <w:rsid w:val="06DF0467"/>
    <w:rsid w:val="06E11AE9"/>
    <w:rsid w:val="06E415D1"/>
    <w:rsid w:val="06E4782C"/>
    <w:rsid w:val="06F16183"/>
    <w:rsid w:val="06F51A39"/>
    <w:rsid w:val="06FF01C2"/>
    <w:rsid w:val="0700028A"/>
    <w:rsid w:val="07003538"/>
    <w:rsid w:val="07097292"/>
    <w:rsid w:val="070B300A"/>
    <w:rsid w:val="071C5217"/>
    <w:rsid w:val="071E0F8F"/>
    <w:rsid w:val="07267E44"/>
    <w:rsid w:val="072916E2"/>
    <w:rsid w:val="07293490"/>
    <w:rsid w:val="072B0FB7"/>
    <w:rsid w:val="072B7208"/>
    <w:rsid w:val="07300CC3"/>
    <w:rsid w:val="0733430F"/>
    <w:rsid w:val="07375BAD"/>
    <w:rsid w:val="073A569E"/>
    <w:rsid w:val="073C7668"/>
    <w:rsid w:val="073D0CEA"/>
    <w:rsid w:val="07416A2C"/>
    <w:rsid w:val="07481B68"/>
    <w:rsid w:val="074A1D85"/>
    <w:rsid w:val="074B3407"/>
    <w:rsid w:val="074D3623"/>
    <w:rsid w:val="07504EC1"/>
    <w:rsid w:val="07524795"/>
    <w:rsid w:val="07577FFE"/>
    <w:rsid w:val="075A7AEE"/>
    <w:rsid w:val="075C5614"/>
    <w:rsid w:val="075F5104"/>
    <w:rsid w:val="07610E7C"/>
    <w:rsid w:val="0768022C"/>
    <w:rsid w:val="07686EEB"/>
    <w:rsid w:val="076D5A73"/>
    <w:rsid w:val="07705E84"/>
    <w:rsid w:val="077C7A64"/>
    <w:rsid w:val="078057A6"/>
    <w:rsid w:val="07852DBD"/>
    <w:rsid w:val="078A61C6"/>
    <w:rsid w:val="078B5EF9"/>
    <w:rsid w:val="078F7797"/>
    <w:rsid w:val="0790350F"/>
    <w:rsid w:val="079B438E"/>
    <w:rsid w:val="07A33243"/>
    <w:rsid w:val="07A70F85"/>
    <w:rsid w:val="07B404AE"/>
    <w:rsid w:val="07B611C8"/>
    <w:rsid w:val="07B70A9C"/>
    <w:rsid w:val="07B94814"/>
    <w:rsid w:val="07CA1145"/>
    <w:rsid w:val="07CD6512"/>
    <w:rsid w:val="07CE2BC3"/>
    <w:rsid w:val="07D01B5E"/>
    <w:rsid w:val="07D16002"/>
    <w:rsid w:val="07D4733A"/>
    <w:rsid w:val="07D75CBB"/>
    <w:rsid w:val="07D94EB6"/>
    <w:rsid w:val="07E04497"/>
    <w:rsid w:val="07E61381"/>
    <w:rsid w:val="07ED44BE"/>
    <w:rsid w:val="07F71E6A"/>
    <w:rsid w:val="07FD27E2"/>
    <w:rsid w:val="07FF6711"/>
    <w:rsid w:val="08002443"/>
    <w:rsid w:val="0801025E"/>
    <w:rsid w:val="08047A5D"/>
    <w:rsid w:val="08055CAB"/>
    <w:rsid w:val="08057A5A"/>
    <w:rsid w:val="080D690E"/>
    <w:rsid w:val="08163A15"/>
    <w:rsid w:val="0817778D"/>
    <w:rsid w:val="081859DF"/>
    <w:rsid w:val="081B54CF"/>
    <w:rsid w:val="081D4F36"/>
    <w:rsid w:val="081E0B1B"/>
    <w:rsid w:val="081E4FBF"/>
    <w:rsid w:val="082779D0"/>
    <w:rsid w:val="08296CA4"/>
    <w:rsid w:val="082A3964"/>
    <w:rsid w:val="08314CF2"/>
    <w:rsid w:val="08346591"/>
    <w:rsid w:val="08387E2F"/>
    <w:rsid w:val="083B347B"/>
    <w:rsid w:val="0845254C"/>
    <w:rsid w:val="08471E20"/>
    <w:rsid w:val="084B6AC0"/>
    <w:rsid w:val="084E5FEC"/>
    <w:rsid w:val="08504A1F"/>
    <w:rsid w:val="085207C5"/>
    <w:rsid w:val="08527432"/>
    <w:rsid w:val="085409E1"/>
    <w:rsid w:val="085B3B1D"/>
    <w:rsid w:val="085D04D3"/>
    <w:rsid w:val="08601134"/>
    <w:rsid w:val="08602EE2"/>
    <w:rsid w:val="08634780"/>
    <w:rsid w:val="086A5B0F"/>
    <w:rsid w:val="0878647D"/>
    <w:rsid w:val="087F780C"/>
    <w:rsid w:val="0882554E"/>
    <w:rsid w:val="08836BD0"/>
    <w:rsid w:val="088421CE"/>
    <w:rsid w:val="08856DEC"/>
    <w:rsid w:val="0889068B"/>
    <w:rsid w:val="088A1B31"/>
    <w:rsid w:val="088F0EC4"/>
    <w:rsid w:val="08935065"/>
    <w:rsid w:val="0898691F"/>
    <w:rsid w:val="089B43F4"/>
    <w:rsid w:val="08A4143D"/>
    <w:rsid w:val="08A6123D"/>
    <w:rsid w:val="08AF79C5"/>
    <w:rsid w:val="08B03870"/>
    <w:rsid w:val="08B32536"/>
    <w:rsid w:val="08BB280E"/>
    <w:rsid w:val="08C16076"/>
    <w:rsid w:val="08C53202"/>
    <w:rsid w:val="08CE42EF"/>
    <w:rsid w:val="08CF1E16"/>
    <w:rsid w:val="08D4742C"/>
    <w:rsid w:val="08D631A4"/>
    <w:rsid w:val="08DA0EE6"/>
    <w:rsid w:val="08DD2784"/>
    <w:rsid w:val="08E6788B"/>
    <w:rsid w:val="08E83E8B"/>
    <w:rsid w:val="08FE7F4D"/>
    <w:rsid w:val="09054AF4"/>
    <w:rsid w:val="090B10A0"/>
    <w:rsid w:val="090E6DE2"/>
    <w:rsid w:val="09150170"/>
    <w:rsid w:val="09167A44"/>
    <w:rsid w:val="092254AC"/>
    <w:rsid w:val="092B7994"/>
    <w:rsid w:val="093103E8"/>
    <w:rsid w:val="0932365F"/>
    <w:rsid w:val="09385C0D"/>
    <w:rsid w:val="093A1985"/>
    <w:rsid w:val="093F6F9B"/>
    <w:rsid w:val="09410F65"/>
    <w:rsid w:val="094B1DE4"/>
    <w:rsid w:val="094B3B92"/>
    <w:rsid w:val="095073FA"/>
    <w:rsid w:val="09572537"/>
    <w:rsid w:val="095A3DD5"/>
    <w:rsid w:val="095F763D"/>
    <w:rsid w:val="09602527"/>
    <w:rsid w:val="0963211F"/>
    <w:rsid w:val="096609CC"/>
    <w:rsid w:val="0966277A"/>
    <w:rsid w:val="09664528"/>
    <w:rsid w:val="096B7D90"/>
    <w:rsid w:val="09734E97"/>
    <w:rsid w:val="0978425B"/>
    <w:rsid w:val="0992531D"/>
    <w:rsid w:val="099472E7"/>
    <w:rsid w:val="099A2423"/>
    <w:rsid w:val="099E0166"/>
    <w:rsid w:val="09A16942"/>
    <w:rsid w:val="09A6191C"/>
    <w:rsid w:val="09A80FE4"/>
    <w:rsid w:val="09A92667"/>
    <w:rsid w:val="09AA4D5C"/>
    <w:rsid w:val="09AB1135"/>
    <w:rsid w:val="09AE1473"/>
    <w:rsid w:val="09AE4C76"/>
    <w:rsid w:val="09B74D83"/>
    <w:rsid w:val="09B863C1"/>
    <w:rsid w:val="09BC354A"/>
    <w:rsid w:val="09BD7309"/>
    <w:rsid w:val="09C33728"/>
    <w:rsid w:val="09C676BC"/>
    <w:rsid w:val="09C86F91"/>
    <w:rsid w:val="09D242DF"/>
    <w:rsid w:val="09E3201C"/>
    <w:rsid w:val="09E71B0D"/>
    <w:rsid w:val="09ED2E9B"/>
    <w:rsid w:val="09F2400E"/>
    <w:rsid w:val="09FB55B8"/>
    <w:rsid w:val="09FE6E56"/>
    <w:rsid w:val="0A042E8E"/>
    <w:rsid w:val="0A081A83"/>
    <w:rsid w:val="0A0A1357"/>
    <w:rsid w:val="0A0B50CF"/>
    <w:rsid w:val="0A1421D6"/>
    <w:rsid w:val="0A14667A"/>
    <w:rsid w:val="0A164496"/>
    <w:rsid w:val="0A165F4E"/>
    <w:rsid w:val="0A1B17B6"/>
    <w:rsid w:val="0A1E4E03"/>
    <w:rsid w:val="0A206DCD"/>
    <w:rsid w:val="0A281E1D"/>
    <w:rsid w:val="0A287A2F"/>
    <w:rsid w:val="0A2A54A3"/>
    <w:rsid w:val="0A2B2319"/>
    <w:rsid w:val="0A2D5046"/>
    <w:rsid w:val="0A3665F0"/>
    <w:rsid w:val="0A36742C"/>
    <w:rsid w:val="0A371FFD"/>
    <w:rsid w:val="0A3D797F"/>
    <w:rsid w:val="0A410AF1"/>
    <w:rsid w:val="0A4212FE"/>
    <w:rsid w:val="0A434869"/>
    <w:rsid w:val="0A4A3E4A"/>
    <w:rsid w:val="0A51342A"/>
    <w:rsid w:val="0A526C4B"/>
    <w:rsid w:val="0A530F50"/>
    <w:rsid w:val="0A540824"/>
    <w:rsid w:val="0A570314"/>
    <w:rsid w:val="0A5F3313"/>
    <w:rsid w:val="0A622F41"/>
    <w:rsid w:val="0A6842D0"/>
    <w:rsid w:val="0A6A44EC"/>
    <w:rsid w:val="0A6C3DC0"/>
    <w:rsid w:val="0A6D75F7"/>
    <w:rsid w:val="0A6F38B0"/>
    <w:rsid w:val="0A717628"/>
    <w:rsid w:val="0A726EFC"/>
    <w:rsid w:val="0A762E91"/>
    <w:rsid w:val="0A766D2C"/>
    <w:rsid w:val="0A805ABD"/>
    <w:rsid w:val="0A856C30"/>
    <w:rsid w:val="0A886720"/>
    <w:rsid w:val="0A892BC4"/>
    <w:rsid w:val="0A93759F"/>
    <w:rsid w:val="0AA277E2"/>
    <w:rsid w:val="0AA74DF8"/>
    <w:rsid w:val="0AAA2B3A"/>
    <w:rsid w:val="0AAA5280"/>
    <w:rsid w:val="0AAB0D8C"/>
    <w:rsid w:val="0AAC0660"/>
    <w:rsid w:val="0AB44861"/>
    <w:rsid w:val="0AB87005"/>
    <w:rsid w:val="0ABA413D"/>
    <w:rsid w:val="0ABD0ABF"/>
    <w:rsid w:val="0ABE2142"/>
    <w:rsid w:val="0AC0235E"/>
    <w:rsid w:val="0AC0410C"/>
    <w:rsid w:val="0AC534D0"/>
    <w:rsid w:val="0AC92FC0"/>
    <w:rsid w:val="0ACA0AE6"/>
    <w:rsid w:val="0ACE05D7"/>
    <w:rsid w:val="0ACE4A7B"/>
    <w:rsid w:val="0AD1476C"/>
    <w:rsid w:val="0AD369CA"/>
    <w:rsid w:val="0AD6392F"/>
    <w:rsid w:val="0AE0655C"/>
    <w:rsid w:val="0AE300E2"/>
    <w:rsid w:val="0AE4604C"/>
    <w:rsid w:val="0AE628DC"/>
    <w:rsid w:val="0AED38FE"/>
    <w:rsid w:val="0AEE0C79"/>
    <w:rsid w:val="0AEF0DDC"/>
    <w:rsid w:val="0AF02C43"/>
    <w:rsid w:val="0AF3003D"/>
    <w:rsid w:val="0AF85654"/>
    <w:rsid w:val="0B051F8B"/>
    <w:rsid w:val="0B100BEF"/>
    <w:rsid w:val="0B156206"/>
    <w:rsid w:val="0B1E3309"/>
    <w:rsid w:val="0B21104E"/>
    <w:rsid w:val="0B246449"/>
    <w:rsid w:val="0B266665"/>
    <w:rsid w:val="0B304DED"/>
    <w:rsid w:val="0B330D82"/>
    <w:rsid w:val="0B3348DE"/>
    <w:rsid w:val="0B350656"/>
    <w:rsid w:val="0B3E28E6"/>
    <w:rsid w:val="0B470389"/>
    <w:rsid w:val="0B5B34AA"/>
    <w:rsid w:val="0B5C5BE2"/>
    <w:rsid w:val="0B5F56D3"/>
    <w:rsid w:val="0B657590"/>
    <w:rsid w:val="0B6727D9"/>
    <w:rsid w:val="0B6A0C8B"/>
    <w:rsid w:val="0B6B051B"/>
    <w:rsid w:val="0B6E5916"/>
    <w:rsid w:val="0B785393"/>
    <w:rsid w:val="0B7A69B0"/>
    <w:rsid w:val="0B8769D7"/>
    <w:rsid w:val="0B8C7F52"/>
    <w:rsid w:val="0B8D66E4"/>
    <w:rsid w:val="0B901D30"/>
    <w:rsid w:val="0B923CFA"/>
    <w:rsid w:val="0B941820"/>
    <w:rsid w:val="0B980BE5"/>
    <w:rsid w:val="0B9F1C6E"/>
    <w:rsid w:val="0B9F3D21"/>
    <w:rsid w:val="0BA70180"/>
    <w:rsid w:val="0BAB6B6A"/>
    <w:rsid w:val="0BB05F2E"/>
    <w:rsid w:val="0BB35A1E"/>
    <w:rsid w:val="0BBF2615"/>
    <w:rsid w:val="0BC00163"/>
    <w:rsid w:val="0BC1013B"/>
    <w:rsid w:val="0BC11EE9"/>
    <w:rsid w:val="0BC25ED6"/>
    <w:rsid w:val="0BC55E7E"/>
    <w:rsid w:val="0BC60BFE"/>
    <w:rsid w:val="0BC639A4"/>
    <w:rsid w:val="0BC65752"/>
    <w:rsid w:val="0BC75351"/>
    <w:rsid w:val="0BC814CA"/>
    <w:rsid w:val="0BCD6AE0"/>
    <w:rsid w:val="0BD10B8C"/>
    <w:rsid w:val="0BD63080"/>
    <w:rsid w:val="0BD86866"/>
    <w:rsid w:val="0BDE6348"/>
    <w:rsid w:val="0BE81B6C"/>
    <w:rsid w:val="0BE91440"/>
    <w:rsid w:val="0BEA58E4"/>
    <w:rsid w:val="0BEB51B8"/>
    <w:rsid w:val="0BF00A21"/>
    <w:rsid w:val="0BF422BF"/>
    <w:rsid w:val="0BF73B5D"/>
    <w:rsid w:val="0BFC1173"/>
    <w:rsid w:val="0C030754"/>
    <w:rsid w:val="0C061FF2"/>
    <w:rsid w:val="0C0750BC"/>
    <w:rsid w:val="0C0D15D3"/>
    <w:rsid w:val="0C0F70F9"/>
    <w:rsid w:val="0C112E71"/>
    <w:rsid w:val="0C177D5B"/>
    <w:rsid w:val="0C182FEF"/>
    <w:rsid w:val="0C1C7A68"/>
    <w:rsid w:val="0C2F779B"/>
    <w:rsid w:val="0C321F45"/>
    <w:rsid w:val="0C355862"/>
    <w:rsid w:val="0C3B1C9C"/>
    <w:rsid w:val="0C48260B"/>
    <w:rsid w:val="0C4D19CF"/>
    <w:rsid w:val="0C4D5E73"/>
    <w:rsid w:val="0C525237"/>
    <w:rsid w:val="0C5821E5"/>
    <w:rsid w:val="0C5F0ACF"/>
    <w:rsid w:val="0C605BA6"/>
    <w:rsid w:val="0C607954"/>
    <w:rsid w:val="0C6133EF"/>
    <w:rsid w:val="0C6254CE"/>
    <w:rsid w:val="0C6311F3"/>
    <w:rsid w:val="0C6D2071"/>
    <w:rsid w:val="0C782EF0"/>
    <w:rsid w:val="0C790A16"/>
    <w:rsid w:val="0C7B02EA"/>
    <w:rsid w:val="0C7F342B"/>
    <w:rsid w:val="0C811679"/>
    <w:rsid w:val="0C851169"/>
    <w:rsid w:val="0C880C59"/>
    <w:rsid w:val="0C9238CE"/>
    <w:rsid w:val="0C943F7B"/>
    <w:rsid w:val="0C970E9C"/>
    <w:rsid w:val="0C9870EE"/>
    <w:rsid w:val="0CA02447"/>
    <w:rsid w:val="0CA23AC9"/>
    <w:rsid w:val="0CA35A93"/>
    <w:rsid w:val="0CB101B0"/>
    <w:rsid w:val="0CC04897"/>
    <w:rsid w:val="0CC37214"/>
    <w:rsid w:val="0CC51EAD"/>
    <w:rsid w:val="0CC7352F"/>
    <w:rsid w:val="0CCC4FEA"/>
    <w:rsid w:val="0CCD4CCD"/>
    <w:rsid w:val="0CCF6888"/>
    <w:rsid w:val="0CD32B4F"/>
    <w:rsid w:val="0CDF3223"/>
    <w:rsid w:val="0CE57E5A"/>
    <w:rsid w:val="0CEA0AB3"/>
    <w:rsid w:val="0CEE31B2"/>
    <w:rsid w:val="0CF06F2A"/>
    <w:rsid w:val="0CF92A3E"/>
    <w:rsid w:val="0CF956B3"/>
    <w:rsid w:val="0D0C53E6"/>
    <w:rsid w:val="0D102A4F"/>
    <w:rsid w:val="0D1036FE"/>
    <w:rsid w:val="0D1644B7"/>
    <w:rsid w:val="0D1D75F3"/>
    <w:rsid w:val="0D200E92"/>
    <w:rsid w:val="0D272220"/>
    <w:rsid w:val="0D2C3CDA"/>
    <w:rsid w:val="0D314E4D"/>
    <w:rsid w:val="0D333A50"/>
    <w:rsid w:val="0D3A05F9"/>
    <w:rsid w:val="0D411534"/>
    <w:rsid w:val="0D416FDA"/>
    <w:rsid w:val="0D470B14"/>
    <w:rsid w:val="0D4E1EA3"/>
    <w:rsid w:val="0D514F76"/>
    <w:rsid w:val="0D5A43A4"/>
    <w:rsid w:val="0D5D3E94"/>
    <w:rsid w:val="0D6B035F"/>
    <w:rsid w:val="0D6B4803"/>
    <w:rsid w:val="0D6B4A79"/>
    <w:rsid w:val="0D6E42F3"/>
    <w:rsid w:val="0D70006B"/>
    <w:rsid w:val="0D701E19"/>
    <w:rsid w:val="0D7107BB"/>
    <w:rsid w:val="0D731909"/>
    <w:rsid w:val="0D7A6E00"/>
    <w:rsid w:val="0D7C6A10"/>
    <w:rsid w:val="0D814026"/>
    <w:rsid w:val="0D837D9E"/>
    <w:rsid w:val="0D84744D"/>
    <w:rsid w:val="0D870F11"/>
    <w:rsid w:val="0D894C89"/>
    <w:rsid w:val="0D8D29CB"/>
    <w:rsid w:val="0D9217FF"/>
    <w:rsid w:val="0D961154"/>
    <w:rsid w:val="0D9755F8"/>
    <w:rsid w:val="0D9F625A"/>
    <w:rsid w:val="0DA16476"/>
    <w:rsid w:val="0DAD6BC9"/>
    <w:rsid w:val="0DB937C0"/>
    <w:rsid w:val="0DBA7538"/>
    <w:rsid w:val="0DC27718"/>
    <w:rsid w:val="0DC82A88"/>
    <w:rsid w:val="0DCA2A4D"/>
    <w:rsid w:val="0DCE4AEA"/>
    <w:rsid w:val="0DD203DE"/>
    <w:rsid w:val="0DD24882"/>
    <w:rsid w:val="0DDD6D83"/>
    <w:rsid w:val="0DDF0D4D"/>
    <w:rsid w:val="0DE528BF"/>
    <w:rsid w:val="0DE95727"/>
    <w:rsid w:val="0DEB5944"/>
    <w:rsid w:val="0DED5218"/>
    <w:rsid w:val="0DF04D08"/>
    <w:rsid w:val="0DF0709A"/>
    <w:rsid w:val="0DFA5B87"/>
    <w:rsid w:val="0DFC545B"/>
    <w:rsid w:val="0E0407B3"/>
    <w:rsid w:val="0E042561"/>
    <w:rsid w:val="0E056A05"/>
    <w:rsid w:val="0E06277D"/>
    <w:rsid w:val="0E0802A4"/>
    <w:rsid w:val="0E0B1B42"/>
    <w:rsid w:val="0E0B7D94"/>
    <w:rsid w:val="0E146C48"/>
    <w:rsid w:val="0E19425F"/>
    <w:rsid w:val="0E19600D"/>
    <w:rsid w:val="0E1A1D85"/>
    <w:rsid w:val="0E1E7AC7"/>
    <w:rsid w:val="0E213113"/>
    <w:rsid w:val="0E2A15BE"/>
    <w:rsid w:val="0E2A646C"/>
    <w:rsid w:val="0E2F3A82"/>
    <w:rsid w:val="0E320E7D"/>
    <w:rsid w:val="0E337741"/>
    <w:rsid w:val="0E39045D"/>
    <w:rsid w:val="0E39220B"/>
    <w:rsid w:val="0E3A41D5"/>
    <w:rsid w:val="0E3C1CFB"/>
    <w:rsid w:val="0E3E3CC5"/>
    <w:rsid w:val="0E455054"/>
    <w:rsid w:val="0E462B7A"/>
    <w:rsid w:val="0E4B1F3E"/>
    <w:rsid w:val="0E4D215A"/>
    <w:rsid w:val="0E4E2E4A"/>
    <w:rsid w:val="0E547045"/>
    <w:rsid w:val="0E5940BA"/>
    <w:rsid w:val="0E611762"/>
    <w:rsid w:val="0E67321C"/>
    <w:rsid w:val="0E686A3B"/>
    <w:rsid w:val="0E6A6868"/>
    <w:rsid w:val="0E7019A5"/>
    <w:rsid w:val="0E72571D"/>
    <w:rsid w:val="0E7476E7"/>
    <w:rsid w:val="0E820056"/>
    <w:rsid w:val="0E8611C8"/>
    <w:rsid w:val="0E87566C"/>
    <w:rsid w:val="0E8C2C83"/>
    <w:rsid w:val="0E8F2773"/>
    <w:rsid w:val="0E925DBF"/>
    <w:rsid w:val="0E9733D5"/>
    <w:rsid w:val="0E981627"/>
    <w:rsid w:val="0E9E29B6"/>
    <w:rsid w:val="0EA24254"/>
    <w:rsid w:val="0EA33B28"/>
    <w:rsid w:val="0EA55AF2"/>
    <w:rsid w:val="0EA855E3"/>
    <w:rsid w:val="0EAF6971"/>
    <w:rsid w:val="0EB21FBD"/>
    <w:rsid w:val="0EBB3568"/>
    <w:rsid w:val="0EC95C85"/>
    <w:rsid w:val="0ECA7861"/>
    <w:rsid w:val="0ECC7523"/>
    <w:rsid w:val="0ED463D8"/>
    <w:rsid w:val="0EED1247"/>
    <w:rsid w:val="0EF3685E"/>
    <w:rsid w:val="0EF6634E"/>
    <w:rsid w:val="0EFB3964"/>
    <w:rsid w:val="0EFE5203"/>
    <w:rsid w:val="0F032819"/>
    <w:rsid w:val="0F064724"/>
    <w:rsid w:val="0F0942D3"/>
    <w:rsid w:val="0F096081"/>
    <w:rsid w:val="0F135152"/>
    <w:rsid w:val="0F19203C"/>
    <w:rsid w:val="0F1F3AF7"/>
    <w:rsid w:val="0F274759"/>
    <w:rsid w:val="0F2B66F0"/>
    <w:rsid w:val="0F2F1860"/>
    <w:rsid w:val="0F2F5EE9"/>
    <w:rsid w:val="0F3A0931"/>
    <w:rsid w:val="0F3B6457"/>
    <w:rsid w:val="0F4A0448"/>
    <w:rsid w:val="0F4C0664"/>
    <w:rsid w:val="0F4E1CE6"/>
    <w:rsid w:val="0F527AFF"/>
    <w:rsid w:val="0F557518"/>
    <w:rsid w:val="0F5E6EE0"/>
    <w:rsid w:val="0F601A19"/>
    <w:rsid w:val="0F602134"/>
    <w:rsid w:val="0F84395A"/>
    <w:rsid w:val="0F87344A"/>
    <w:rsid w:val="0F931DEF"/>
    <w:rsid w:val="0F9F69E6"/>
    <w:rsid w:val="0FA1168B"/>
    <w:rsid w:val="0FA43FFC"/>
    <w:rsid w:val="0FA7589A"/>
    <w:rsid w:val="0FB57FB7"/>
    <w:rsid w:val="0FBC1346"/>
    <w:rsid w:val="0FC24482"/>
    <w:rsid w:val="0FC87CEA"/>
    <w:rsid w:val="0FCD3553"/>
    <w:rsid w:val="0FCE583F"/>
    <w:rsid w:val="0FD03043"/>
    <w:rsid w:val="0FD06B9F"/>
    <w:rsid w:val="0FDB07CE"/>
    <w:rsid w:val="0FE4264A"/>
    <w:rsid w:val="0FE663C2"/>
    <w:rsid w:val="0FF02D9D"/>
    <w:rsid w:val="0FF24D67"/>
    <w:rsid w:val="0FF7412C"/>
    <w:rsid w:val="0FFD54BA"/>
    <w:rsid w:val="10022AD1"/>
    <w:rsid w:val="100B7BD7"/>
    <w:rsid w:val="100D1BA1"/>
    <w:rsid w:val="100D7DF3"/>
    <w:rsid w:val="10164324"/>
    <w:rsid w:val="101747CE"/>
    <w:rsid w:val="10207B26"/>
    <w:rsid w:val="1021564D"/>
    <w:rsid w:val="10246EEB"/>
    <w:rsid w:val="102C0EC2"/>
    <w:rsid w:val="102E38C6"/>
    <w:rsid w:val="102F7D69"/>
    <w:rsid w:val="10305890"/>
    <w:rsid w:val="1034712E"/>
    <w:rsid w:val="10376C1E"/>
    <w:rsid w:val="10390BE8"/>
    <w:rsid w:val="10392996"/>
    <w:rsid w:val="103A04BC"/>
    <w:rsid w:val="103C4234"/>
    <w:rsid w:val="103C5FE2"/>
    <w:rsid w:val="103F3D25"/>
    <w:rsid w:val="10404746"/>
    <w:rsid w:val="10507CE0"/>
    <w:rsid w:val="105C0433"/>
    <w:rsid w:val="105C6685"/>
    <w:rsid w:val="10613C9B"/>
    <w:rsid w:val="10645539"/>
    <w:rsid w:val="10667503"/>
    <w:rsid w:val="10685029"/>
    <w:rsid w:val="106A0DA2"/>
    <w:rsid w:val="106F11CA"/>
    <w:rsid w:val="10700268"/>
    <w:rsid w:val="10702130"/>
    <w:rsid w:val="10797237"/>
    <w:rsid w:val="107B4D5D"/>
    <w:rsid w:val="10817E99"/>
    <w:rsid w:val="10831E63"/>
    <w:rsid w:val="108341D3"/>
    <w:rsid w:val="10A5002C"/>
    <w:rsid w:val="10AC13BA"/>
    <w:rsid w:val="10B77D5F"/>
    <w:rsid w:val="10BC5375"/>
    <w:rsid w:val="10BC5954"/>
    <w:rsid w:val="10BD35C7"/>
    <w:rsid w:val="10BE3A58"/>
    <w:rsid w:val="10C37201"/>
    <w:rsid w:val="10DB1C9F"/>
    <w:rsid w:val="10E022CF"/>
    <w:rsid w:val="10E42E83"/>
    <w:rsid w:val="10E741A0"/>
    <w:rsid w:val="10EA3C90"/>
    <w:rsid w:val="10F1501F"/>
    <w:rsid w:val="10F20D97"/>
    <w:rsid w:val="10F34F8A"/>
    <w:rsid w:val="10F60887"/>
    <w:rsid w:val="10F845FF"/>
    <w:rsid w:val="11056D1C"/>
    <w:rsid w:val="1109680C"/>
    <w:rsid w:val="110C1E59"/>
    <w:rsid w:val="1122167C"/>
    <w:rsid w:val="1128459B"/>
    <w:rsid w:val="11286567"/>
    <w:rsid w:val="112A22DF"/>
    <w:rsid w:val="112F5B47"/>
    <w:rsid w:val="113118BF"/>
    <w:rsid w:val="113413B0"/>
    <w:rsid w:val="11365128"/>
    <w:rsid w:val="11382C4E"/>
    <w:rsid w:val="113969C6"/>
    <w:rsid w:val="113D64B6"/>
    <w:rsid w:val="114107C5"/>
    <w:rsid w:val="1141166B"/>
    <w:rsid w:val="11423ACC"/>
    <w:rsid w:val="11457119"/>
    <w:rsid w:val="11477335"/>
    <w:rsid w:val="114B271D"/>
    <w:rsid w:val="11586E4C"/>
    <w:rsid w:val="115A0E16"/>
    <w:rsid w:val="115A7068"/>
    <w:rsid w:val="115B693C"/>
    <w:rsid w:val="115F467E"/>
    <w:rsid w:val="116457F1"/>
    <w:rsid w:val="116577BB"/>
    <w:rsid w:val="11673533"/>
    <w:rsid w:val="116C0B49"/>
    <w:rsid w:val="116C7E71"/>
    <w:rsid w:val="117143B2"/>
    <w:rsid w:val="1173012A"/>
    <w:rsid w:val="11743805"/>
    <w:rsid w:val="117A6C2B"/>
    <w:rsid w:val="118045F5"/>
    <w:rsid w:val="11823EC9"/>
    <w:rsid w:val="11895257"/>
    <w:rsid w:val="118E0AC0"/>
    <w:rsid w:val="118F65E6"/>
    <w:rsid w:val="119360D6"/>
    <w:rsid w:val="11963E18"/>
    <w:rsid w:val="11A77DD3"/>
    <w:rsid w:val="11AE2F10"/>
    <w:rsid w:val="11B0204B"/>
    <w:rsid w:val="11B04EDA"/>
    <w:rsid w:val="11B147AE"/>
    <w:rsid w:val="11B524F0"/>
    <w:rsid w:val="11B80A2A"/>
    <w:rsid w:val="11BC011F"/>
    <w:rsid w:val="11BE6AD3"/>
    <w:rsid w:val="11C42733"/>
    <w:rsid w:val="11C664AC"/>
    <w:rsid w:val="11D706B9"/>
    <w:rsid w:val="11D84431"/>
    <w:rsid w:val="11DA1F57"/>
    <w:rsid w:val="11E22BBA"/>
    <w:rsid w:val="11E64458"/>
    <w:rsid w:val="11E85CAC"/>
    <w:rsid w:val="11EC79FA"/>
    <w:rsid w:val="11F03528"/>
    <w:rsid w:val="11F1104F"/>
    <w:rsid w:val="11F41C40"/>
    <w:rsid w:val="11F528ED"/>
    <w:rsid w:val="11FC1ECD"/>
    <w:rsid w:val="11FC3C7B"/>
    <w:rsid w:val="12011292"/>
    <w:rsid w:val="1202325C"/>
    <w:rsid w:val="12064AFA"/>
    <w:rsid w:val="121D602C"/>
    <w:rsid w:val="1226519C"/>
    <w:rsid w:val="12280F14"/>
    <w:rsid w:val="122F6D00"/>
    <w:rsid w:val="12333415"/>
    <w:rsid w:val="123A29F6"/>
    <w:rsid w:val="123E7BB4"/>
    <w:rsid w:val="12455238"/>
    <w:rsid w:val="125515DD"/>
    <w:rsid w:val="12696E37"/>
    <w:rsid w:val="126C1D30"/>
    <w:rsid w:val="126D4444"/>
    <w:rsid w:val="126E38C2"/>
    <w:rsid w:val="126F08F1"/>
    <w:rsid w:val="12744159"/>
    <w:rsid w:val="12751C80"/>
    <w:rsid w:val="127C4DBC"/>
    <w:rsid w:val="127C6B6A"/>
    <w:rsid w:val="1284666A"/>
    <w:rsid w:val="12851EC3"/>
    <w:rsid w:val="12865C3B"/>
    <w:rsid w:val="128679E9"/>
    <w:rsid w:val="12887A60"/>
    <w:rsid w:val="128B3251"/>
    <w:rsid w:val="12922832"/>
    <w:rsid w:val="129B7938"/>
    <w:rsid w:val="12A2770F"/>
    <w:rsid w:val="12A32349"/>
    <w:rsid w:val="12A367ED"/>
    <w:rsid w:val="12A762DD"/>
    <w:rsid w:val="12AB56A1"/>
    <w:rsid w:val="12B44556"/>
    <w:rsid w:val="12B502CE"/>
    <w:rsid w:val="12B75DF4"/>
    <w:rsid w:val="12B839F5"/>
    <w:rsid w:val="12BC340B"/>
    <w:rsid w:val="12BC78AF"/>
    <w:rsid w:val="12C14EC5"/>
    <w:rsid w:val="12C16C73"/>
    <w:rsid w:val="12C329EB"/>
    <w:rsid w:val="12C66037"/>
    <w:rsid w:val="12D40754"/>
    <w:rsid w:val="12D54411"/>
    <w:rsid w:val="12DB7D35"/>
    <w:rsid w:val="12DC4483"/>
    <w:rsid w:val="12E144B4"/>
    <w:rsid w:val="12EA441C"/>
    <w:rsid w:val="12EA7CAB"/>
    <w:rsid w:val="12EE53C0"/>
    <w:rsid w:val="12EF37E0"/>
    <w:rsid w:val="12F31522"/>
    <w:rsid w:val="12F40DF6"/>
    <w:rsid w:val="12F64B6E"/>
    <w:rsid w:val="12FC4865"/>
    <w:rsid w:val="130059ED"/>
    <w:rsid w:val="13023513"/>
    <w:rsid w:val="130354DD"/>
    <w:rsid w:val="1304784E"/>
    <w:rsid w:val="13086650"/>
    <w:rsid w:val="130A061A"/>
    <w:rsid w:val="130C25E4"/>
    <w:rsid w:val="13113756"/>
    <w:rsid w:val="131B6383"/>
    <w:rsid w:val="131E24A3"/>
    <w:rsid w:val="13203999"/>
    <w:rsid w:val="132316DC"/>
    <w:rsid w:val="132C233E"/>
    <w:rsid w:val="132C67E2"/>
    <w:rsid w:val="132D4308"/>
    <w:rsid w:val="132E255A"/>
    <w:rsid w:val="133252B0"/>
    <w:rsid w:val="133B07D3"/>
    <w:rsid w:val="134A6C68"/>
    <w:rsid w:val="13533D6F"/>
    <w:rsid w:val="13573133"/>
    <w:rsid w:val="135875D7"/>
    <w:rsid w:val="13596EAB"/>
    <w:rsid w:val="13611394"/>
    <w:rsid w:val="136743F4"/>
    <w:rsid w:val="136A1F26"/>
    <w:rsid w:val="136A72AD"/>
    <w:rsid w:val="136C3083"/>
    <w:rsid w:val="136E6DFB"/>
    <w:rsid w:val="136F13DE"/>
    <w:rsid w:val="137B32C6"/>
    <w:rsid w:val="137D703E"/>
    <w:rsid w:val="138228A6"/>
    <w:rsid w:val="13824654"/>
    <w:rsid w:val="13854144"/>
    <w:rsid w:val="138A52B7"/>
    <w:rsid w:val="139879D4"/>
    <w:rsid w:val="139D148E"/>
    <w:rsid w:val="139D4FEA"/>
    <w:rsid w:val="139E0D62"/>
    <w:rsid w:val="13A22600"/>
    <w:rsid w:val="13A75E69"/>
    <w:rsid w:val="13AE369B"/>
    <w:rsid w:val="13C46A1B"/>
    <w:rsid w:val="13C57F81"/>
    <w:rsid w:val="13C95DDF"/>
    <w:rsid w:val="13CC1D73"/>
    <w:rsid w:val="13CC3B21"/>
    <w:rsid w:val="13D60003"/>
    <w:rsid w:val="13DB3D64"/>
    <w:rsid w:val="13DD7ADC"/>
    <w:rsid w:val="13DF5603"/>
    <w:rsid w:val="13E40E6B"/>
    <w:rsid w:val="13E72709"/>
    <w:rsid w:val="13F05A62"/>
    <w:rsid w:val="13F44FA5"/>
    <w:rsid w:val="13F75067"/>
    <w:rsid w:val="13F76DF0"/>
    <w:rsid w:val="13FA068E"/>
    <w:rsid w:val="13FC61B5"/>
    <w:rsid w:val="13FE2D40"/>
    <w:rsid w:val="13FF5CA5"/>
    <w:rsid w:val="13FF7A53"/>
    <w:rsid w:val="14092680"/>
    <w:rsid w:val="140D6614"/>
    <w:rsid w:val="140E7C96"/>
    <w:rsid w:val="14101C60"/>
    <w:rsid w:val="14123C2A"/>
    <w:rsid w:val="14151024"/>
    <w:rsid w:val="141C70C5"/>
    <w:rsid w:val="141D25CF"/>
    <w:rsid w:val="141E70D6"/>
    <w:rsid w:val="142A7EF5"/>
    <w:rsid w:val="142C45C0"/>
    <w:rsid w:val="142C636E"/>
    <w:rsid w:val="14302A0B"/>
    <w:rsid w:val="1432607A"/>
    <w:rsid w:val="14357918"/>
    <w:rsid w:val="143C2A55"/>
    <w:rsid w:val="14425B91"/>
    <w:rsid w:val="1444658A"/>
    <w:rsid w:val="14495172"/>
    <w:rsid w:val="144D4C62"/>
    <w:rsid w:val="144D794A"/>
    <w:rsid w:val="14537D9F"/>
    <w:rsid w:val="14626A0F"/>
    <w:rsid w:val="14641FAC"/>
    <w:rsid w:val="14681A9C"/>
    <w:rsid w:val="146B50E8"/>
    <w:rsid w:val="146D70B2"/>
    <w:rsid w:val="14726477"/>
    <w:rsid w:val="147321EF"/>
    <w:rsid w:val="147860A8"/>
    <w:rsid w:val="147F49DD"/>
    <w:rsid w:val="148443FC"/>
    <w:rsid w:val="148A193E"/>
    <w:rsid w:val="148B578A"/>
    <w:rsid w:val="148D505F"/>
    <w:rsid w:val="14972381"/>
    <w:rsid w:val="1497412F"/>
    <w:rsid w:val="14A405FA"/>
    <w:rsid w:val="14B06F9F"/>
    <w:rsid w:val="14BC1DE8"/>
    <w:rsid w:val="14C30A80"/>
    <w:rsid w:val="14C831D3"/>
    <w:rsid w:val="14D84158"/>
    <w:rsid w:val="14EA0703"/>
    <w:rsid w:val="14EC447B"/>
    <w:rsid w:val="14FB646C"/>
    <w:rsid w:val="14FC3F92"/>
    <w:rsid w:val="150177FB"/>
    <w:rsid w:val="15053D15"/>
    <w:rsid w:val="15086A2A"/>
    <w:rsid w:val="150F0169"/>
    <w:rsid w:val="1519630B"/>
    <w:rsid w:val="151D2886"/>
    <w:rsid w:val="152754B3"/>
    <w:rsid w:val="15292B66"/>
    <w:rsid w:val="152F25BA"/>
    <w:rsid w:val="15325C06"/>
    <w:rsid w:val="153B2D0D"/>
    <w:rsid w:val="15453B8B"/>
    <w:rsid w:val="154D2A40"/>
    <w:rsid w:val="155838BF"/>
    <w:rsid w:val="155A65BC"/>
    <w:rsid w:val="15655FDB"/>
    <w:rsid w:val="1573694A"/>
    <w:rsid w:val="15755FA6"/>
    <w:rsid w:val="15793835"/>
    <w:rsid w:val="157D50D3"/>
    <w:rsid w:val="157F52EF"/>
    <w:rsid w:val="15815C8A"/>
    <w:rsid w:val="15842905"/>
    <w:rsid w:val="15852F26"/>
    <w:rsid w:val="158F12AA"/>
    <w:rsid w:val="158F4E06"/>
    <w:rsid w:val="15903F89"/>
    <w:rsid w:val="15932B49"/>
    <w:rsid w:val="159E329B"/>
    <w:rsid w:val="159E5049"/>
    <w:rsid w:val="159F14ED"/>
    <w:rsid w:val="15A5462A"/>
    <w:rsid w:val="15A703A2"/>
    <w:rsid w:val="15AA7E92"/>
    <w:rsid w:val="15B036FB"/>
    <w:rsid w:val="15B763F6"/>
    <w:rsid w:val="15BF393E"/>
    <w:rsid w:val="15C23ED5"/>
    <w:rsid w:val="15CC605B"/>
    <w:rsid w:val="15D66ED9"/>
    <w:rsid w:val="15DA0777"/>
    <w:rsid w:val="15DF31E5"/>
    <w:rsid w:val="15E05662"/>
    <w:rsid w:val="15F2239C"/>
    <w:rsid w:val="16041350"/>
    <w:rsid w:val="160457F4"/>
    <w:rsid w:val="160752E5"/>
    <w:rsid w:val="1609105D"/>
    <w:rsid w:val="16092E0B"/>
    <w:rsid w:val="160E21CF"/>
    <w:rsid w:val="160F7CF5"/>
    <w:rsid w:val="16111CBF"/>
    <w:rsid w:val="16156EE2"/>
    <w:rsid w:val="161672D6"/>
    <w:rsid w:val="161B25E6"/>
    <w:rsid w:val="161B669A"/>
    <w:rsid w:val="161D2412"/>
    <w:rsid w:val="161E0016"/>
    <w:rsid w:val="16273291"/>
    <w:rsid w:val="16353C00"/>
    <w:rsid w:val="16386068"/>
    <w:rsid w:val="164222E1"/>
    <w:rsid w:val="164B51D1"/>
    <w:rsid w:val="164D0DB8"/>
    <w:rsid w:val="165247B2"/>
    <w:rsid w:val="165412E7"/>
    <w:rsid w:val="165B2F3A"/>
    <w:rsid w:val="165C0979"/>
    <w:rsid w:val="165D4F05"/>
    <w:rsid w:val="165F0C7D"/>
    <w:rsid w:val="165F4CB9"/>
    <w:rsid w:val="166249EF"/>
    <w:rsid w:val="166B13D0"/>
    <w:rsid w:val="166E2C6E"/>
    <w:rsid w:val="16726C02"/>
    <w:rsid w:val="16753FFC"/>
    <w:rsid w:val="16774218"/>
    <w:rsid w:val="167E55A7"/>
    <w:rsid w:val="168406E3"/>
    <w:rsid w:val="16846E3B"/>
    <w:rsid w:val="16872A35"/>
    <w:rsid w:val="169326D4"/>
    <w:rsid w:val="16A20B69"/>
    <w:rsid w:val="16A50D85"/>
    <w:rsid w:val="16A62408"/>
    <w:rsid w:val="16A668AC"/>
    <w:rsid w:val="16B12689"/>
    <w:rsid w:val="16B32D77"/>
    <w:rsid w:val="16B9038D"/>
    <w:rsid w:val="16C50A6D"/>
    <w:rsid w:val="16C86822"/>
    <w:rsid w:val="16CA4A05"/>
    <w:rsid w:val="16CB1E6E"/>
    <w:rsid w:val="16D01B7A"/>
    <w:rsid w:val="16D231FD"/>
    <w:rsid w:val="16D36F75"/>
    <w:rsid w:val="16D451C7"/>
    <w:rsid w:val="16D90A2F"/>
    <w:rsid w:val="16DC6ABA"/>
    <w:rsid w:val="16E42F30"/>
    <w:rsid w:val="16EB0762"/>
    <w:rsid w:val="16ED47B4"/>
    <w:rsid w:val="16ED6288"/>
    <w:rsid w:val="16F2389F"/>
    <w:rsid w:val="17092996"/>
    <w:rsid w:val="17103D25"/>
    <w:rsid w:val="17127A9D"/>
    <w:rsid w:val="171671AF"/>
    <w:rsid w:val="171750B3"/>
    <w:rsid w:val="171B2DF6"/>
    <w:rsid w:val="171C64DD"/>
    <w:rsid w:val="171F21BA"/>
    <w:rsid w:val="1720665E"/>
    <w:rsid w:val="172123D6"/>
    <w:rsid w:val="17237EFC"/>
    <w:rsid w:val="172B0B5F"/>
    <w:rsid w:val="17321EED"/>
    <w:rsid w:val="173C2D6C"/>
    <w:rsid w:val="173E4D36"/>
    <w:rsid w:val="174101CE"/>
    <w:rsid w:val="17425771"/>
    <w:rsid w:val="17435EA8"/>
    <w:rsid w:val="17463BEB"/>
    <w:rsid w:val="175005C5"/>
    <w:rsid w:val="17546308"/>
    <w:rsid w:val="175D340E"/>
    <w:rsid w:val="17626C76"/>
    <w:rsid w:val="176B6B9D"/>
    <w:rsid w:val="176F4EEF"/>
    <w:rsid w:val="17747262"/>
    <w:rsid w:val="17773DA4"/>
    <w:rsid w:val="177C760C"/>
    <w:rsid w:val="178070FD"/>
    <w:rsid w:val="178169D1"/>
    <w:rsid w:val="178766DD"/>
    <w:rsid w:val="178A2DBE"/>
    <w:rsid w:val="178A7F7B"/>
    <w:rsid w:val="178C3CF3"/>
    <w:rsid w:val="179606CE"/>
    <w:rsid w:val="17977486"/>
    <w:rsid w:val="17A10E21"/>
    <w:rsid w:val="17A76437"/>
    <w:rsid w:val="17AB1930"/>
    <w:rsid w:val="17AD5A18"/>
    <w:rsid w:val="17B40B54"/>
    <w:rsid w:val="17B43DEC"/>
    <w:rsid w:val="17B46DA6"/>
    <w:rsid w:val="17B66FCF"/>
    <w:rsid w:val="17B84AE8"/>
    <w:rsid w:val="17B9616B"/>
    <w:rsid w:val="17BD3EAD"/>
    <w:rsid w:val="17BE7C25"/>
    <w:rsid w:val="17C0399D"/>
    <w:rsid w:val="17C0574B"/>
    <w:rsid w:val="17C6613C"/>
    <w:rsid w:val="17CD7E79"/>
    <w:rsid w:val="17D115AF"/>
    <w:rsid w:val="17D2722C"/>
    <w:rsid w:val="17E205DA"/>
    <w:rsid w:val="17E23913"/>
    <w:rsid w:val="17E86A50"/>
    <w:rsid w:val="17E90DBD"/>
    <w:rsid w:val="17EC6540"/>
    <w:rsid w:val="17EE22B8"/>
    <w:rsid w:val="17F6116D"/>
    <w:rsid w:val="17FB2C27"/>
    <w:rsid w:val="17FD074D"/>
    <w:rsid w:val="17FE4AAC"/>
    <w:rsid w:val="180C7E4B"/>
    <w:rsid w:val="180F222F"/>
    <w:rsid w:val="181A12FF"/>
    <w:rsid w:val="181A27E5"/>
    <w:rsid w:val="181C076B"/>
    <w:rsid w:val="18221F62"/>
    <w:rsid w:val="18293803"/>
    <w:rsid w:val="182A7C25"/>
    <w:rsid w:val="182F467F"/>
    <w:rsid w:val="183103F7"/>
    <w:rsid w:val="18371EB1"/>
    <w:rsid w:val="18420856"/>
    <w:rsid w:val="18441ED8"/>
    <w:rsid w:val="18450A85"/>
    <w:rsid w:val="184E2D57"/>
    <w:rsid w:val="18524B4C"/>
    <w:rsid w:val="1853036D"/>
    <w:rsid w:val="185D743E"/>
    <w:rsid w:val="18626802"/>
    <w:rsid w:val="18644328"/>
    <w:rsid w:val="18695DE3"/>
    <w:rsid w:val="186B56B7"/>
    <w:rsid w:val="186D0013"/>
    <w:rsid w:val="186D4371"/>
    <w:rsid w:val="18754787"/>
    <w:rsid w:val="18756535"/>
    <w:rsid w:val="187D363C"/>
    <w:rsid w:val="187D461F"/>
    <w:rsid w:val="188350F6"/>
    <w:rsid w:val="18876269"/>
    <w:rsid w:val="1890511D"/>
    <w:rsid w:val="18925339"/>
    <w:rsid w:val="189525D9"/>
    <w:rsid w:val="18AB1F57"/>
    <w:rsid w:val="18AD3F21"/>
    <w:rsid w:val="18B0756E"/>
    <w:rsid w:val="18B7435A"/>
    <w:rsid w:val="18C33745"/>
    <w:rsid w:val="18C43019"/>
    <w:rsid w:val="18D019BE"/>
    <w:rsid w:val="18D05E62"/>
    <w:rsid w:val="18D45952"/>
    <w:rsid w:val="18D86AC4"/>
    <w:rsid w:val="18DC65B5"/>
    <w:rsid w:val="18E67433"/>
    <w:rsid w:val="18F061EE"/>
    <w:rsid w:val="18FC27B3"/>
    <w:rsid w:val="18FE477D"/>
    <w:rsid w:val="18FE652B"/>
    <w:rsid w:val="190717DB"/>
    <w:rsid w:val="190D2C12"/>
    <w:rsid w:val="191044B0"/>
    <w:rsid w:val="19153875"/>
    <w:rsid w:val="191C744C"/>
    <w:rsid w:val="1921046B"/>
    <w:rsid w:val="192405AB"/>
    <w:rsid w:val="192561AE"/>
    <w:rsid w:val="192B3098"/>
    <w:rsid w:val="192E2615"/>
    <w:rsid w:val="193463F1"/>
    <w:rsid w:val="19355CC5"/>
    <w:rsid w:val="193A52A0"/>
    <w:rsid w:val="193C34F7"/>
    <w:rsid w:val="19406B43"/>
    <w:rsid w:val="19434886"/>
    <w:rsid w:val="194F322A"/>
    <w:rsid w:val="194F4FD8"/>
    <w:rsid w:val="19543300"/>
    <w:rsid w:val="1954439D"/>
    <w:rsid w:val="19614D0C"/>
    <w:rsid w:val="1968609A"/>
    <w:rsid w:val="196C11FD"/>
    <w:rsid w:val="196D1903"/>
    <w:rsid w:val="19706CFD"/>
    <w:rsid w:val="19722A75"/>
    <w:rsid w:val="197523F8"/>
    <w:rsid w:val="197B5DCD"/>
    <w:rsid w:val="197E58BE"/>
    <w:rsid w:val="19874772"/>
    <w:rsid w:val="198804EA"/>
    <w:rsid w:val="1990114D"/>
    <w:rsid w:val="19960E59"/>
    <w:rsid w:val="199B6470"/>
    <w:rsid w:val="199C7AF2"/>
    <w:rsid w:val="19B14838"/>
    <w:rsid w:val="19B412DF"/>
    <w:rsid w:val="19BE5CBA"/>
    <w:rsid w:val="19C07C84"/>
    <w:rsid w:val="19C73298"/>
    <w:rsid w:val="19C84D8B"/>
    <w:rsid w:val="19CE05F3"/>
    <w:rsid w:val="19D63004"/>
    <w:rsid w:val="19D84FCE"/>
    <w:rsid w:val="19D86DEE"/>
    <w:rsid w:val="19E020D4"/>
    <w:rsid w:val="19E32C44"/>
    <w:rsid w:val="19E33973"/>
    <w:rsid w:val="19E5593D"/>
    <w:rsid w:val="19EA6AAF"/>
    <w:rsid w:val="19EC6CCB"/>
    <w:rsid w:val="19ED0B3D"/>
    <w:rsid w:val="19F142E2"/>
    <w:rsid w:val="19F17B32"/>
    <w:rsid w:val="19F65454"/>
    <w:rsid w:val="19FB2A6A"/>
    <w:rsid w:val="1A0263B7"/>
    <w:rsid w:val="1A045DC3"/>
    <w:rsid w:val="1A057D8D"/>
    <w:rsid w:val="1A0758B3"/>
    <w:rsid w:val="1A0832FB"/>
    <w:rsid w:val="1A0A0EFF"/>
    <w:rsid w:val="1A0F4768"/>
    <w:rsid w:val="1A0F6516"/>
    <w:rsid w:val="1A163D48"/>
    <w:rsid w:val="1A1D0C33"/>
    <w:rsid w:val="1A2521DD"/>
    <w:rsid w:val="1A295829"/>
    <w:rsid w:val="1A2975D8"/>
    <w:rsid w:val="1A3A2380"/>
    <w:rsid w:val="1A3D3083"/>
    <w:rsid w:val="1A4A6455"/>
    <w:rsid w:val="1A4E5290"/>
    <w:rsid w:val="1A514D80"/>
    <w:rsid w:val="1A516B2E"/>
    <w:rsid w:val="1A5328A6"/>
    <w:rsid w:val="1A56786D"/>
    <w:rsid w:val="1A584361"/>
    <w:rsid w:val="1A5A58C9"/>
    <w:rsid w:val="1A620D3B"/>
    <w:rsid w:val="1A66082C"/>
    <w:rsid w:val="1A6B4094"/>
    <w:rsid w:val="1A6B5E42"/>
    <w:rsid w:val="1A7016AA"/>
    <w:rsid w:val="1A74631B"/>
    <w:rsid w:val="1A7F5449"/>
    <w:rsid w:val="1A824F3A"/>
    <w:rsid w:val="1A860030"/>
    <w:rsid w:val="1A89276C"/>
    <w:rsid w:val="1A8962C8"/>
    <w:rsid w:val="1A914D3A"/>
    <w:rsid w:val="1A977F74"/>
    <w:rsid w:val="1A9A04D5"/>
    <w:rsid w:val="1AA81F13"/>
    <w:rsid w:val="1AA9696A"/>
    <w:rsid w:val="1AAD645B"/>
    <w:rsid w:val="1AAE21D3"/>
    <w:rsid w:val="1AB94A4F"/>
    <w:rsid w:val="1ABC669E"/>
    <w:rsid w:val="1ABF6D62"/>
    <w:rsid w:val="1AC437A4"/>
    <w:rsid w:val="1AC47300"/>
    <w:rsid w:val="1AC94917"/>
    <w:rsid w:val="1ACC4407"/>
    <w:rsid w:val="1ACD08AB"/>
    <w:rsid w:val="1AD11A1D"/>
    <w:rsid w:val="1AD21E1E"/>
    <w:rsid w:val="1AD516DC"/>
    <w:rsid w:val="1AD559B1"/>
    <w:rsid w:val="1AD5775F"/>
    <w:rsid w:val="1AD6374C"/>
    <w:rsid w:val="1ADC289C"/>
    <w:rsid w:val="1ADF238C"/>
    <w:rsid w:val="1ADF413A"/>
    <w:rsid w:val="1AE14356"/>
    <w:rsid w:val="1AE23C2A"/>
    <w:rsid w:val="1AEB5268"/>
    <w:rsid w:val="1AEE0821"/>
    <w:rsid w:val="1AF000F5"/>
    <w:rsid w:val="1AF3341F"/>
    <w:rsid w:val="1AF5570C"/>
    <w:rsid w:val="1AFC2F3E"/>
    <w:rsid w:val="1AFC6A9A"/>
    <w:rsid w:val="1AFF658A"/>
    <w:rsid w:val="1B0E2C71"/>
    <w:rsid w:val="1B0E67CD"/>
    <w:rsid w:val="1B102545"/>
    <w:rsid w:val="1B157B5C"/>
    <w:rsid w:val="1B177D78"/>
    <w:rsid w:val="1B2B737F"/>
    <w:rsid w:val="1B351FAC"/>
    <w:rsid w:val="1B3E3557"/>
    <w:rsid w:val="1B3E70B3"/>
    <w:rsid w:val="1B46065D"/>
    <w:rsid w:val="1B4A3CA9"/>
    <w:rsid w:val="1B520DB0"/>
    <w:rsid w:val="1B5365A4"/>
    <w:rsid w:val="1B55264E"/>
    <w:rsid w:val="1B5543FC"/>
    <w:rsid w:val="1B5811BD"/>
    <w:rsid w:val="1B590390"/>
    <w:rsid w:val="1B5E1503"/>
    <w:rsid w:val="1B642891"/>
    <w:rsid w:val="1B776A68"/>
    <w:rsid w:val="1B79458F"/>
    <w:rsid w:val="1B7C407F"/>
    <w:rsid w:val="1B7C5E2D"/>
    <w:rsid w:val="1B8A22F8"/>
    <w:rsid w:val="1B99253B"/>
    <w:rsid w:val="1B9C64CF"/>
    <w:rsid w:val="1B9E3FF5"/>
    <w:rsid w:val="1BA50EE0"/>
    <w:rsid w:val="1BA55384"/>
    <w:rsid w:val="1BAA4748"/>
    <w:rsid w:val="1BAC5F55"/>
    <w:rsid w:val="1BAD248A"/>
    <w:rsid w:val="1BB03CF4"/>
    <w:rsid w:val="1BB2184F"/>
    <w:rsid w:val="1BB235FD"/>
    <w:rsid w:val="1BB36B00"/>
    <w:rsid w:val="1BBE6445"/>
    <w:rsid w:val="1BC31CAE"/>
    <w:rsid w:val="1BC53330"/>
    <w:rsid w:val="1BC62475"/>
    <w:rsid w:val="1BC97F66"/>
    <w:rsid w:val="1BCC0B62"/>
    <w:rsid w:val="1BCD6688"/>
    <w:rsid w:val="1BCF2401"/>
    <w:rsid w:val="1BD417C5"/>
    <w:rsid w:val="1BE53E44"/>
    <w:rsid w:val="1BE7774A"/>
    <w:rsid w:val="1BE84931"/>
    <w:rsid w:val="1BF21D38"/>
    <w:rsid w:val="1BF400B9"/>
    <w:rsid w:val="1BFD51C0"/>
    <w:rsid w:val="1BFE03CE"/>
    <w:rsid w:val="1BFE4A94"/>
    <w:rsid w:val="1BFF73B7"/>
    <w:rsid w:val="1C0025BA"/>
    <w:rsid w:val="1C01417E"/>
    <w:rsid w:val="1C0320AA"/>
    <w:rsid w:val="1C077DEC"/>
    <w:rsid w:val="1C0A51E7"/>
    <w:rsid w:val="1C0E52F2"/>
    <w:rsid w:val="1C177904"/>
    <w:rsid w:val="1C1B5646"/>
    <w:rsid w:val="1C1D13BE"/>
    <w:rsid w:val="1C1E6EE4"/>
    <w:rsid w:val="1C2004A2"/>
    <w:rsid w:val="1C21377F"/>
    <w:rsid w:val="1C244D13"/>
    <w:rsid w:val="1C281B11"/>
    <w:rsid w:val="1C2925E8"/>
    <w:rsid w:val="1C2A3ADB"/>
    <w:rsid w:val="1C2D7127"/>
    <w:rsid w:val="1C2F10F1"/>
    <w:rsid w:val="1C34223F"/>
    <w:rsid w:val="1C362480"/>
    <w:rsid w:val="1C3B7A96"/>
    <w:rsid w:val="1C493F61"/>
    <w:rsid w:val="1C4E77C9"/>
    <w:rsid w:val="1C5172BA"/>
    <w:rsid w:val="1C52512B"/>
    <w:rsid w:val="1C5823F6"/>
    <w:rsid w:val="1C5A43C0"/>
    <w:rsid w:val="1C5A616E"/>
    <w:rsid w:val="1C5B5A42"/>
    <w:rsid w:val="1C662D65"/>
    <w:rsid w:val="1C67088B"/>
    <w:rsid w:val="1C676ADD"/>
    <w:rsid w:val="1C6B037B"/>
    <w:rsid w:val="1C80194D"/>
    <w:rsid w:val="1C8054A9"/>
    <w:rsid w:val="1C805614"/>
    <w:rsid w:val="1C821221"/>
    <w:rsid w:val="1C8651B5"/>
    <w:rsid w:val="1C8A70B8"/>
    <w:rsid w:val="1C9553F8"/>
    <w:rsid w:val="1C984EE8"/>
    <w:rsid w:val="1C995872"/>
    <w:rsid w:val="1C9D24FF"/>
    <w:rsid w:val="1C9D42AD"/>
    <w:rsid w:val="1CA64228"/>
    <w:rsid w:val="1CAE0268"/>
    <w:rsid w:val="1CAE2016"/>
    <w:rsid w:val="1CB25FAA"/>
    <w:rsid w:val="1CBA09BB"/>
    <w:rsid w:val="1CBA6C0D"/>
    <w:rsid w:val="1CC01D49"/>
    <w:rsid w:val="1CCB7BB6"/>
    <w:rsid w:val="1CCE2F15"/>
    <w:rsid w:val="1CD6156D"/>
    <w:rsid w:val="1CDA105D"/>
    <w:rsid w:val="1CDA2E0B"/>
    <w:rsid w:val="1CE05FE6"/>
    <w:rsid w:val="1CEC4AB5"/>
    <w:rsid w:val="1CED6FE2"/>
    <w:rsid w:val="1CF57C45"/>
    <w:rsid w:val="1CFC5477"/>
    <w:rsid w:val="1CFD2F9D"/>
    <w:rsid w:val="1D035BF9"/>
    <w:rsid w:val="1D091942"/>
    <w:rsid w:val="1D097B94"/>
    <w:rsid w:val="1D1125A5"/>
    <w:rsid w:val="1D1A3B4F"/>
    <w:rsid w:val="1D1C3424"/>
    <w:rsid w:val="1D1E3640"/>
    <w:rsid w:val="1D1F0E00"/>
    <w:rsid w:val="1D256673"/>
    <w:rsid w:val="1D322C47"/>
    <w:rsid w:val="1D392227"/>
    <w:rsid w:val="1D3A4268"/>
    <w:rsid w:val="1D4604A0"/>
    <w:rsid w:val="1D4961E3"/>
    <w:rsid w:val="1D5A3F4C"/>
    <w:rsid w:val="1D5F77B4"/>
    <w:rsid w:val="1D616F48"/>
    <w:rsid w:val="1D632E00"/>
    <w:rsid w:val="1D645145"/>
    <w:rsid w:val="1D6628F1"/>
    <w:rsid w:val="1D682B0D"/>
    <w:rsid w:val="1D7C3A29"/>
    <w:rsid w:val="1D835251"/>
    <w:rsid w:val="1D844E34"/>
    <w:rsid w:val="1D877B61"/>
    <w:rsid w:val="1D886D0B"/>
    <w:rsid w:val="1D8A22DE"/>
    <w:rsid w:val="1D951428"/>
    <w:rsid w:val="1D976F4E"/>
    <w:rsid w:val="1D990F18"/>
    <w:rsid w:val="1D9C4564"/>
    <w:rsid w:val="1DA8115B"/>
    <w:rsid w:val="1DAB745A"/>
    <w:rsid w:val="1DB56A91"/>
    <w:rsid w:val="1DB83859"/>
    <w:rsid w:val="1DBB0E8E"/>
    <w:rsid w:val="1DBE4A27"/>
    <w:rsid w:val="1DC1279E"/>
    <w:rsid w:val="1DC15D79"/>
    <w:rsid w:val="1DC835AB"/>
    <w:rsid w:val="1DCB4E4A"/>
    <w:rsid w:val="1DD261D8"/>
    <w:rsid w:val="1DD97567"/>
    <w:rsid w:val="1DE1641B"/>
    <w:rsid w:val="1DEA3522"/>
    <w:rsid w:val="1DEA52D0"/>
    <w:rsid w:val="1DEB1048"/>
    <w:rsid w:val="1DED6D0F"/>
    <w:rsid w:val="1DEE57CF"/>
    <w:rsid w:val="1DF148B0"/>
    <w:rsid w:val="1DF4614E"/>
    <w:rsid w:val="1DF66A64"/>
    <w:rsid w:val="1DF71857"/>
    <w:rsid w:val="1E0068A1"/>
    <w:rsid w:val="1E015772"/>
    <w:rsid w:val="1E25455A"/>
    <w:rsid w:val="1E256308"/>
    <w:rsid w:val="1E276524"/>
    <w:rsid w:val="1E2A7DC2"/>
    <w:rsid w:val="1E2C7696"/>
    <w:rsid w:val="1E2F53D8"/>
    <w:rsid w:val="1E3B3D7D"/>
    <w:rsid w:val="1E401394"/>
    <w:rsid w:val="1E403142"/>
    <w:rsid w:val="1E444519"/>
    <w:rsid w:val="1E472722"/>
    <w:rsid w:val="1E4D585F"/>
    <w:rsid w:val="1E4E1D03"/>
    <w:rsid w:val="1E5170FD"/>
    <w:rsid w:val="1E5B61CE"/>
    <w:rsid w:val="1E601A36"/>
    <w:rsid w:val="1E674B72"/>
    <w:rsid w:val="1E6A01BF"/>
    <w:rsid w:val="1E6C03DB"/>
    <w:rsid w:val="1E763007"/>
    <w:rsid w:val="1E766B63"/>
    <w:rsid w:val="1E7A2AF8"/>
    <w:rsid w:val="1E831DDE"/>
    <w:rsid w:val="1E845724"/>
    <w:rsid w:val="1E8C282B"/>
    <w:rsid w:val="1E8C6387"/>
    <w:rsid w:val="1EA25BAA"/>
    <w:rsid w:val="1EA77665"/>
    <w:rsid w:val="1EAE09F3"/>
    <w:rsid w:val="1EAE27A1"/>
    <w:rsid w:val="1EB12291"/>
    <w:rsid w:val="1EBA7398"/>
    <w:rsid w:val="1EBF050A"/>
    <w:rsid w:val="1EBF675C"/>
    <w:rsid w:val="1ECB3353"/>
    <w:rsid w:val="1ECF44C6"/>
    <w:rsid w:val="1ED65854"/>
    <w:rsid w:val="1ED815CC"/>
    <w:rsid w:val="1EDB10BC"/>
    <w:rsid w:val="1EDB2E6A"/>
    <w:rsid w:val="1EDC730E"/>
    <w:rsid w:val="1EDF0BAD"/>
    <w:rsid w:val="1EE461C3"/>
    <w:rsid w:val="1EEC32CA"/>
    <w:rsid w:val="1EF06916"/>
    <w:rsid w:val="1EF26B32"/>
    <w:rsid w:val="1EF736F4"/>
    <w:rsid w:val="1EFA3C38"/>
    <w:rsid w:val="1EFB350D"/>
    <w:rsid w:val="1EFD1033"/>
    <w:rsid w:val="1F001ECA"/>
    <w:rsid w:val="1F022AED"/>
    <w:rsid w:val="1F0423C1"/>
    <w:rsid w:val="1F073C5F"/>
    <w:rsid w:val="1F0D1E03"/>
    <w:rsid w:val="1F0E4FEE"/>
    <w:rsid w:val="1F130856"/>
    <w:rsid w:val="1F136AA8"/>
    <w:rsid w:val="1F1545CE"/>
    <w:rsid w:val="1F1617FC"/>
    <w:rsid w:val="1F161B67"/>
    <w:rsid w:val="1F185E6D"/>
    <w:rsid w:val="1F291E28"/>
    <w:rsid w:val="1F294849"/>
    <w:rsid w:val="1F3A4035"/>
    <w:rsid w:val="1F3F789D"/>
    <w:rsid w:val="1F443106"/>
    <w:rsid w:val="1F464788"/>
    <w:rsid w:val="1F4E188E"/>
    <w:rsid w:val="1F5570C1"/>
    <w:rsid w:val="1F585A3B"/>
    <w:rsid w:val="1F5E426B"/>
    <w:rsid w:val="1F5F3A9B"/>
    <w:rsid w:val="1F6659B4"/>
    <w:rsid w:val="1F6B41EE"/>
    <w:rsid w:val="1F75506D"/>
    <w:rsid w:val="1F777037"/>
    <w:rsid w:val="1F792DAF"/>
    <w:rsid w:val="1F811C64"/>
    <w:rsid w:val="1F841754"/>
    <w:rsid w:val="1F86727A"/>
    <w:rsid w:val="1F884DA0"/>
    <w:rsid w:val="1F8C207E"/>
    <w:rsid w:val="1F901EA7"/>
    <w:rsid w:val="1F9130AA"/>
    <w:rsid w:val="1F923E71"/>
    <w:rsid w:val="1F9664CF"/>
    <w:rsid w:val="1F9C084C"/>
    <w:rsid w:val="1F9C6A9E"/>
    <w:rsid w:val="1F9E0AE3"/>
    <w:rsid w:val="1FA140B4"/>
    <w:rsid w:val="1FA616CA"/>
    <w:rsid w:val="1FAB0A8F"/>
    <w:rsid w:val="1FB5190D"/>
    <w:rsid w:val="1FBE0986"/>
    <w:rsid w:val="1FC80E48"/>
    <w:rsid w:val="1FC85AE5"/>
    <w:rsid w:val="1FCB2EDF"/>
    <w:rsid w:val="1FD004F5"/>
    <w:rsid w:val="1FD20711"/>
    <w:rsid w:val="1FD2426D"/>
    <w:rsid w:val="1FD71884"/>
    <w:rsid w:val="1FDE0E64"/>
    <w:rsid w:val="1FE741BD"/>
    <w:rsid w:val="1FED72F9"/>
    <w:rsid w:val="1FFB37C4"/>
    <w:rsid w:val="1FFC578E"/>
    <w:rsid w:val="200C59D1"/>
    <w:rsid w:val="200D22E7"/>
    <w:rsid w:val="200F54C2"/>
    <w:rsid w:val="20124FB2"/>
    <w:rsid w:val="20140D2A"/>
    <w:rsid w:val="20194161"/>
    <w:rsid w:val="201B3E66"/>
    <w:rsid w:val="201B5C14"/>
    <w:rsid w:val="201E74B3"/>
    <w:rsid w:val="202820DF"/>
    <w:rsid w:val="20336198"/>
    <w:rsid w:val="203B0065"/>
    <w:rsid w:val="203B1E13"/>
    <w:rsid w:val="204213F3"/>
    <w:rsid w:val="20436F19"/>
    <w:rsid w:val="204C4020"/>
    <w:rsid w:val="20592BE1"/>
    <w:rsid w:val="205C7FDB"/>
    <w:rsid w:val="205E01F7"/>
    <w:rsid w:val="20605D1D"/>
    <w:rsid w:val="20607ACB"/>
    <w:rsid w:val="206C2914"/>
    <w:rsid w:val="206F3344"/>
    <w:rsid w:val="207673DB"/>
    <w:rsid w:val="20796DDF"/>
    <w:rsid w:val="207B2B57"/>
    <w:rsid w:val="20823EE5"/>
    <w:rsid w:val="208512E0"/>
    <w:rsid w:val="208C08C0"/>
    <w:rsid w:val="208E288A"/>
    <w:rsid w:val="208F03B0"/>
    <w:rsid w:val="2096173F"/>
    <w:rsid w:val="20994D8B"/>
    <w:rsid w:val="209A7F17"/>
    <w:rsid w:val="209D2ACD"/>
    <w:rsid w:val="20A0611A"/>
    <w:rsid w:val="20A96430"/>
    <w:rsid w:val="20AE6A88"/>
    <w:rsid w:val="20B120D5"/>
    <w:rsid w:val="20B240CD"/>
    <w:rsid w:val="20C22534"/>
    <w:rsid w:val="20CF6B56"/>
    <w:rsid w:val="20D07FE6"/>
    <w:rsid w:val="20D74317"/>
    <w:rsid w:val="20D83B05"/>
    <w:rsid w:val="20DB1848"/>
    <w:rsid w:val="20DB793B"/>
    <w:rsid w:val="20E24984"/>
    <w:rsid w:val="20E6220C"/>
    <w:rsid w:val="20EB1A8B"/>
    <w:rsid w:val="20EC563A"/>
    <w:rsid w:val="20EF2BFD"/>
    <w:rsid w:val="20F12E19"/>
    <w:rsid w:val="20F52909"/>
    <w:rsid w:val="20F621DE"/>
    <w:rsid w:val="20FD17BE"/>
    <w:rsid w:val="20FF5536"/>
    <w:rsid w:val="20FF72E4"/>
    <w:rsid w:val="21050673"/>
    <w:rsid w:val="210523E4"/>
    <w:rsid w:val="21076199"/>
    <w:rsid w:val="21091F11"/>
    <w:rsid w:val="21093CBF"/>
    <w:rsid w:val="210E5779"/>
    <w:rsid w:val="2110329F"/>
    <w:rsid w:val="211C7E96"/>
    <w:rsid w:val="211F7986"/>
    <w:rsid w:val="21231ADD"/>
    <w:rsid w:val="21244F9D"/>
    <w:rsid w:val="21274A8D"/>
    <w:rsid w:val="212D20A3"/>
    <w:rsid w:val="212F17A3"/>
    <w:rsid w:val="21313216"/>
    <w:rsid w:val="21336F8E"/>
    <w:rsid w:val="2136082C"/>
    <w:rsid w:val="213D605E"/>
    <w:rsid w:val="2142789C"/>
    <w:rsid w:val="21442F49"/>
    <w:rsid w:val="21463165"/>
    <w:rsid w:val="21470C8B"/>
    <w:rsid w:val="21473C2D"/>
    <w:rsid w:val="21494282"/>
    <w:rsid w:val="214B44F2"/>
    <w:rsid w:val="214E3DC8"/>
    <w:rsid w:val="21555156"/>
    <w:rsid w:val="21584C46"/>
    <w:rsid w:val="215A276C"/>
    <w:rsid w:val="215C64E4"/>
    <w:rsid w:val="215F5FD5"/>
    <w:rsid w:val="216B2BCB"/>
    <w:rsid w:val="216B497A"/>
    <w:rsid w:val="21707EAF"/>
    <w:rsid w:val="217355DC"/>
    <w:rsid w:val="21747CD2"/>
    <w:rsid w:val="217A4BBD"/>
    <w:rsid w:val="217D46AD"/>
    <w:rsid w:val="21823A71"/>
    <w:rsid w:val="218D48F0"/>
    <w:rsid w:val="218E68BA"/>
    <w:rsid w:val="219519F6"/>
    <w:rsid w:val="219537A4"/>
    <w:rsid w:val="2196425A"/>
    <w:rsid w:val="219A0DBB"/>
    <w:rsid w:val="219E4D4F"/>
    <w:rsid w:val="21A63C04"/>
    <w:rsid w:val="21A67760"/>
    <w:rsid w:val="21A77E4B"/>
    <w:rsid w:val="21AE4866"/>
    <w:rsid w:val="21B300CF"/>
    <w:rsid w:val="21BA145D"/>
    <w:rsid w:val="21BE0F4D"/>
    <w:rsid w:val="21C5052E"/>
    <w:rsid w:val="21C83B7A"/>
    <w:rsid w:val="21D249F9"/>
    <w:rsid w:val="21D56297"/>
    <w:rsid w:val="21DB2A55"/>
    <w:rsid w:val="21DC5877"/>
    <w:rsid w:val="21DD6EFA"/>
    <w:rsid w:val="21E169EA"/>
    <w:rsid w:val="21E32762"/>
    <w:rsid w:val="21E336A7"/>
    <w:rsid w:val="21E93AF0"/>
    <w:rsid w:val="21F20BF7"/>
    <w:rsid w:val="21F259FA"/>
    <w:rsid w:val="21F52495"/>
    <w:rsid w:val="21F77FBB"/>
    <w:rsid w:val="21FB109B"/>
    <w:rsid w:val="21FC7CC7"/>
    <w:rsid w:val="22124DF5"/>
    <w:rsid w:val="22196184"/>
    <w:rsid w:val="221A39C9"/>
    <w:rsid w:val="222114DC"/>
    <w:rsid w:val="2221328A"/>
    <w:rsid w:val="22237002"/>
    <w:rsid w:val="22325497"/>
    <w:rsid w:val="22341ABF"/>
    <w:rsid w:val="22342FBD"/>
    <w:rsid w:val="22356D36"/>
    <w:rsid w:val="22370D00"/>
    <w:rsid w:val="223B434C"/>
    <w:rsid w:val="223C00C4"/>
    <w:rsid w:val="223C1E72"/>
    <w:rsid w:val="22407BB4"/>
    <w:rsid w:val="224322B1"/>
    <w:rsid w:val="22552F34"/>
    <w:rsid w:val="22576CAC"/>
    <w:rsid w:val="22624374"/>
    <w:rsid w:val="22635651"/>
    <w:rsid w:val="22665141"/>
    <w:rsid w:val="226715E5"/>
    <w:rsid w:val="22723AE6"/>
    <w:rsid w:val="2277734E"/>
    <w:rsid w:val="22791318"/>
    <w:rsid w:val="22794E74"/>
    <w:rsid w:val="227B4048"/>
    <w:rsid w:val="227F4F1F"/>
    <w:rsid w:val="22802012"/>
    <w:rsid w:val="228F5B46"/>
    <w:rsid w:val="22916662"/>
    <w:rsid w:val="229722EC"/>
    <w:rsid w:val="22993768"/>
    <w:rsid w:val="229D43DA"/>
    <w:rsid w:val="22A04AF7"/>
    <w:rsid w:val="22A2261D"/>
    <w:rsid w:val="22A30143"/>
    <w:rsid w:val="22A46DC3"/>
    <w:rsid w:val="22A53EBB"/>
    <w:rsid w:val="22AC1F65"/>
    <w:rsid w:val="22AF297E"/>
    <w:rsid w:val="22B45EAC"/>
    <w:rsid w:val="22B81E40"/>
    <w:rsid w:val="22BA5BB9"/>
    <w:rsid w:val="22BB548D"/>
    <w:rsid w:val="22C205C9"/>
    <w:rsid w:val="22C32593"/>
    <w:rsid w:val="22C75BE0"/>
    <w:rsid w:val="22CA69FF"/>
    <w:rsid w:val="22CE3412"/>
    <w:rsid w:val="22CF2CE6"/>
    <w:rsid w:val="22D12D91"/>
    <w:rsid w:val="22D14CB0"/>
    <w:rsid w:val="22DA6C25"/>
    <w:rsid w:val="22DB2D94"/>
    <w:rsid w:val="22E76282"/>
    <w:rsid w:val="22EC1AEA"/>
    <w:rsid w:val="22F17F86"/>
    <w:rsid w:val="22F64717"/>
    <w:rsid w:val="23021720"/>
    <w:rsid w:val="23040BE2"/>
    <w:rsid w:val="23052BAC"/>
    <w:rsid w:val="2305495A"/>
    <w:rsid w:val="2309444A"/>
    <w:rsid w:val="230A46B8"/>
    <w:rsid w:val="231057D9"/>
    <w:rsid w:val="2318643B"/>
    <w:rsid w:val="231A03DC"/>
    <w:rsid w:val="231F5A1C"/>
    <w:rsid w:val="2322550C"/>
    <w:rsid w:val="23240E85"/>
    <w:rsid w:val="23274461"/>
    <w:rsid w:val="23283B3B"/>
    <w:rsid w:val="232B0A96"/>
    <w:rsid w:val="232C2DD6"/>
    <w:rsid w:val="233174FD"/>
    <w:rsid w:val="23337719"/>
    <w:rsid w:val="23384D2F"/>
    <w:rsid w:val="23386ADD"/>
    <w:rsid w:val="23452FA8"/>
    <w:rsid w:val="2346744C"/>
    <w:rsid w:val="234C38FD"/>
    <w:rsid w:val="2358717F"/>
    <w:rsid w:val="235C6C70"/>
    <w:rsid w:val="235F050E"/>
    <w:rsid w:val="236773C3"/>
    <w:rsid w:val="237A503B"/>
    <w:rsid w:val="237C2E6E"/>
    <w:rsid w:val="23827D58"/>
    <w:rsid w:val="23847F75"/>
    <w:rsid w:val="23851938"/>
    <w:rsid w:val="238E2BA1"/>
    <w:rsid w:val="239006C7"/>
    <w:rsid w:val="2398757C"/>
    <w:rsid w:val="239A1546"/>
    <w:rsid w:val="239A7798"/>
    <w:rsid w:val="239B7FBE"/>
    <w:rsid w:val="239D4C57"/>
    <w:rsid w:val="23A44173"/>
    <w:rsid w:val="23A45F21"/>
    <w:rsid w:val="23A67EEB"/>
    <w:rsid w:val="23A800D8"/>
    <w:rsid w:val="23A81EB5"/>
    <w:rsid w:val="23AD1279"/>
    <w:rsid w:val="23B332D3"/>
    <w:rsid w:val="23B95E70"/>
    <w:rsid w:val="23BD161F"/>
    <w:rsid w:val="23C10881"/>
    <w:rsid w:val="23C860B3"/>
    <w:rsid w:val="23CE7442"/>
    <w:rsid w:val="23D22A8E"/>
    <w:rsid w:val="23D63662"/>
    <w:rsid w:val="23D762F6"/>
    <w:rsid w:val="23E34620"/>
    <w:rsid w:val="23EA543D"/>
    <w:rsid w:val="23EE53EE"/>
    <w:rsid w:val="23F01166"/>
    <w:rsid w:val="23F46EA8"/>
    <w:rsid w:val="23FE1AD5"/>
    <w:rsid w:val="24000D54"/>
    <w:rsid w:val="24013373"/>
    <w:rsid w:val="2403417D"/>
    <w:rsid w:val="240864B0"/>
    <w:rsid w:val="24092228"/>
    <w:rsid w:val="240D3AC6"/>
    <w:rsid w:val="240E507C"/>
    <w:rsid w:val="240F5A90"/>
    <w:rsid w:val="240F5C1B"/>
    <w:rsid w:val="241035B6"/>
    <w:rsid w:val="241C63FF"/>
    <w:rsid w:val="241F37F9"/>
    <w:rsid w:val="24210C1D"/>
    <w:rsid w:val="2423778D"/>
    <w:rsid w:val="243035A3"/>
    <w:rsid w:val="243948BB"/>
    <w:rsid w:val="243A6885"/>
    <w:rsid w:val="243F5C4A"/>
    <w:rsid w:val="2443573A"/>
    <w:rsid w:val="24482D50"/>
    <w:rsid w:val="244D0366"/>
    <w:rsid w:val="244D480A"/>
    <w:rsid w:val="24507E57"/>
    <w:rsid w:val="245931AF"/>
    <w:rsid w:val="245C2C9F"/>
    <w:rsid w:val="24607E62"/>
    <w:rsid w:val="246102B6"/>
    <w:rsid w:val="246456B0"/>
    <w:rsid w:val="246D0A09"/>
    <w:rsid w:val="246F29D3"/>
    <w:rsid w:val="246F4781"/>
    <w:rsid w:val="24704055"/>
    <w:rsid w:val="2473727F"/>
    <w:rsid w:val="247C6E9E"/>
    <w:rsid w:val="247D6439"/>
    <w:rsid w:val="24877D1C"/>
    <w:rsid w:val="24890ACD"/>
    <w:rsid w:val="248B15E9"/>
    <w:rsid w:val="248C1AC9"/>
    <w:rsid w:val="248F3AD2"/>
    <w:rsid w:val="24942439"/>
    <w:rsid w:val="249E0BC2"/>
    <w:rsid w:val="249E6CBA"/>
    <w:rsid w:val="24A106B2"/>
    <w:rsid w:val="24A51F50"/>
    <w:rsid w:val="24AC7783"/>
    <w:rsid w:val="24B46637"/>
    <w:rsid w:val="24C85C3F"/>
    <w:rsid w:val="24CD76F9"/>
    <w:rsid w:val="24CE259C"/>
    <w:rsid w:val="24D10F97"/>
    <w:rsid w:val="24D32F62"/>
    <w:rsid w:val="24D80578"/>
    <w:rsid w:val="24DB1E16"/>
    <w:rsid w:val="24DB5972"/>
    <w:rsid w:val="24DE1906"/>
    <w:rsid w:val="24DE5462"/>
    <w:rsid w:val="24E16D01"/>
    <w:rsid w:val="24E24F53"/>
    <w:rsid w:val="24E30CCB"/>
    <w:rsid w:val="24E46F1D"/>
    <w:rsid w:val="24EE1B49"/>
    <w:rsid w:val="24F46A34"/>
    <w:rsid w:val="24F5112A"/>
    <w:rsid w:val="24FD6C94"/>
    <w:rsid w:val="24FD7FDE"/>
    <w:rsid w:val="24FE5B05"/>
    <w:rsid w:val="25050C41"/>
    <w:rsid w:val="25055DB0"/>
    <w:rsid w:val="250824DF"/>
    <w:rsid w:val="250A26FB"/>
    <w:rsid w:val="251B2213"/>
    <w:rsid w:val="251E14EE"/>
    <w:rsid w:val="251E4728"/>
    <w:rsid w:val="251F61A7"/>
    <w:rsid w:val="25205A7B"/>
    <w:rsid w:val="252235A1"/>
    <w:rsid w:val="25243F0A"/>
    <w:rsid w:val="25290DD3"/>
    <w:rsid w:val="252C2672"/>
    <w:rsid w:val="252E0198"/>
    <w:rsid w:val="252E63EA"/>
    <w:rsid w:val="25317C88"/>
    <w:rsid w:val="25331C52"/>
    <w:rsid w:val="253357AE"/>
    <w:rsid w:val="2536529E"/>
    <w:rsid w:val="2536704D"/>
    <w:rsid w:val="25401C79"/>
    <w:rsid w:val="2540611D"/>
    <w:rsid w:val="25441769"/>
    <w:rsid w:val="254A2AF8"/>
    <w:rsid w:val="254B3DD9"/>
    <w:rsid w:val="25522B50"/>
    <w:rsid w:val="25565941"/>
    <w:rsid w:val="255D0A7D"/>
    <w:rsid w:val="25601F6B"/>
    <w:rsid w:val="256736AA"/>
    <w:rsid w:val="256911D0"/>
    <w:rsid w:val="256E378C"/>
    <w:rsid w:val="2572277A"/>
    <w:rsid w:val="25781413"/>
    <w:rsid w:val="257F09F3"/>
    <w:rsid w:val="257F27A2"/>
    <w:rsid w:val="2580651A"/>
    <w:rsid w:val="258129BE"/>
    <w:rsid w:val="25832F05"/>
    <w:rsid w:val="25873D4C"/>
    <w:rsid w:val="25880713"/>
    <w:rsid w:val="258A1146"/>
    <w:rsid w:val="258C4EBE"/>
    <w:rsid w:val="259124D5"/>
    <w:rsid w:val="25946D3B"/>
    <w:rsid w:val="25965D3D"/>
    <w:rsid w:val="25987D07"/>
    <w:rsid w:val="259A3A7F"/>
    <w:rsid w:val="259C15A5"/>
    <w:rsid w:val="259D70CC"/>
    <w:rsid w:val="259F4BF2"/>
    <w:rsid w:val="25A0096A"/>
    <w:rsid w:val="25A20B86"/>
    <w:rsid w:val="25AB17E9"/>
    <w:rsid w:val="25AB3597"/>
    <w:rsid w:val="25AC5561"/>
    <w:rsid w:val="25B05051"/>
    <w:rsid w:val="25B12B77"/>
    <w:rsid w:val="25B262E8"/>
    <w:rsid w:val="25B763DF"/>
    <w:rsid w:val="25BC57A4"/>
    <w:rsid w:val="25BD32CA"/>
    <w:rsid w:val="25C1100C"/>
    <w:rsid w:val="25C428AA"/>
    <w:rsid w:val="25CD42FA"/>
    <w:rsid w:val="25CE3729"/>
    <w:rsid w:val="25D16D75"/>
    <w:rsid w:val="25D24FC7"/>
    <w:rsid w:val="25D52D09"/>
    <w:rsid w:val="25D649BC"/>
    <w:rsid w:val="25DB14CF"/>
    <w:rsid w:val="25DF76E4"/>
    <w:rsid w:val="25E22D30"/>
    <w:rsid w:val="25E92311"/>
    <w:rsid w:val="25ED5B9F"/>
    <w:rsid w:val="25F901AD"/>
    <w:rsid w:val="25FA6F6C"/>
    <w:rsid w:val="25FB4E9E"/>
    <w:rsid w:val="26025181"/>
    <w:rsid w:val="2604714B"/>
    <w:rsid w:val="26062EC3"/>
    <w:rsid w:val="260929B3"/>
    <w:rsid w:val="260B672B"/>
    <w:rsid w:val="260D4251"/>
    <w:rsid w:val="260E3B25"/>
    <w:rsid w:val="26143832"/>
    <w:rsid w:val="261455E0"/>
    <w:rsid w:val="26151358"/>
    <w:rsid w:val="261A4BC0"/>
    <w:rsid w:val="261F3F85"/>
    <w:rsid w:val="262014A0"/>
    <w:rsid w:val="26215F4F"/>
    <w:rsid w:val="26263565"/>
    <w:rsid w:val="26284BE7"/>
    <w:rsid w:val="26296BB1"/>
    <w:rsid w:val="262F241A"/>
    <w:rsid w:val="262F6944"/>
    <w:rsid w:val="26321F0A"/>
    <w:rsid w:val="2635703D"/>
    <w:rsid w:val="2637626E"/>
    <w:rsid w:val="26377520"/>
    <w:rsid w:val="26395046"/>
    <w:rsid w:val="26413EFB"/>
    <w:rsid w:val="26466964"/>
    <w:rsid w:val="26467763"/>
    <w:rsid w:val="265A05A4"/>
    <w:rsid w:val="265A6D6B"/>
    <w:rsid w:val="265E4AAD"/>
    <w:rsid w:val="265E685B"/>
    <w:rsid w:val="2666570F"/>
    <w:rsid w:val="26695200"/>
    <w:rsid w:val="266D6A9E"/>
    <w:rsid w:val="2671696F"/>
    <w:rsid w:val="26720558"/>
    <w:rsid w:val="267442D0"/>
    <w:rsid w:val="2674607E"/>
    <w:rsid w:val="26797B39"/>
    <w:rsid w:val="267F67D1"/>
    <w:rsid w:val="26812549"/>
    <w:rsid w:val="26824CFF"/>
    <w:rsid w:val="26881B2A"/>
    <w:rsid w:val="26914E82"/>
    <w:rsid w:val="2694227D"/>
    <w:rsid w:val="269B185D"/>
    <w:rsid w:val="269E759F"/>
    <w:rsid w:val="26A1499A"/>
    <w:rsid w:val="26A27A1A"/>
    <w:rsid w:val="26A5448A"/>
    <w:rsid w:val="26A83F7A"/>
    <w:rsid w:val="26A843E4"/>
    <w:rsid w:val="26AD77E2"/>
    <w:rsid w:val="26AF5308"/>
    <w:rsid w:val="26B7240F"/>
    <w:rsid w:val="26BD5CA0"/>
    <w:rsid w:val="26BE554B"/>
    <w:rsid w:val="26C07516"/>
    <w:rsid w:val="26C64400"/>
    <w:rsid w:val="26CA0394"/>
    <w:rsid w:val="26CB1A16"/>
    <w:rsid w:val="26D0702D"/>
    <w:rsid w:val="26D22DA5"/>
    <w:rsid w:val="26D27249"/>
    <w:rsid w:val="26D353B8"/>
    <w:rsid w:val="26E1123A"/>
    <w:rsid w:val="26E31456"/>
    <w:rsid w:val="26E52AD8"/>
    <w:rsid w:val="26EA00EF"/>
    <w:rsid w:val="26ED7BDF"/>
    <w:rsid w:val="26F23447"/>
    <w:rsid w:val="26F61189"/>
    <w:rsid w:val="26FB5083"/>
    <w:rsid w:val="26FE3B9A"/>
    <w:rsid w:val="270C62B7"/>
    <w:rsid w:val="27135897"/>
    <w:rsid w:val="2714160F"/>
    <w:rsid w:val="271B299E"/>
    <w:rsid w:val="271D6716"/>
    <w:rsid w:val="27221F7E"/>
    <w:rsid w:val="27233601"/>
    <w:rsid w:val="272A498F"/>
    <w:rsid w:val="272C4BAB"/>
    <w:rsid w:val="272C6959"/>
    <w:rsid w:val="27361586"/>
    <w:rsid w:val="273B6B9C"/>
    <w:rsid w:val="27427F2B"/>
    <w:rsid w:val="27435A51"/>
    <w:rsid w:val="2746374C"/>
    <w:rsid w:val="2747706B"/>
    <w:rsid w:val="274E2D73"/>
    <w:rsid w:val="274E68CF"/>
    <w:rsid w:val="274F0899"/>
    <w:rsid w:val="274F678B"/>
    <w:rsid w:val="27533EE6"/>
    <w:rsid w:val="275E288B"/>
    <w:rsid w:val="275F0ADD"/>
    <w:rsid w:val="275F6D2E"/>
    <w:rsid w:val="27675BE3"/>
    <w:rsid w:val="27677991"/>
    <w:rsid w:val="276A7481"/>
    <w:rsid w:val="276C4FA7"/>
    <w:rsid w:val="276E0D20"/>
    <w:rsid w:val="27700610"/>
    <w:rsid w:val="27713183"/>
    <w:rsid w:val="277327DA"/>
    <w:rsid w:val="27755DCA"/>
    <w:rsid w:val="27800A53"/>
    <w:rsid w:val="27822A1D"/>
    <w:rsid w:val="279462AC"/>
    <w:rsid w:val="27982240"/>
    <w:rsid w:val="279F537D"/>
    <w:rsid w:val="27AC3C3E"/>
    <w:rsid w:val="27B076D1"/>
    <w:rsid w:val="27B16E5E"/>
    <w:rsid w:val="27BF157B"/>
    <w:rsid w:val="27C070A1"/>
    <w:rsid w:val="27C26BE0"/>
    <w:rsid w:val="27C80F54"/>
    <w:rsid w:val="27CB17E2"/>
    <w:rsid w:val="27CC1EEA"/>
    <w:rsid w:val="27D67551"/>
    <w:rsid w:val="27D8088F"/>
    <w:rsid w:val="27DA0163"/>
    <w:rsid w:val="27DA4607"/>
    <w:rsid w:val="27DF7465"/>
    <w:rsid w:val="27E2526A"/>
    <w:rsid w:val="27E3172A"/>
    <w:rsid w:val="27EB2370"/>
    <w:rsid w:val="27EB411E"/>
    <w:rsid w:val="27EE1E60"/>
    <w:rsid w:val="27F531EF"/>
    <w:rsid w:val="27FC632B"/>
    <w:rsid w:val="27FE2AE4"/>
    <w:rsid w:val="27FF7BCA"/>
    <w:rsid w:val="28013942"/>
    <w:rsid w:val="28033B5E"/>
    <w:rsid w:val="280451E0"/>
    <w:rsid w:val="280478D6"/>
    <w:rsid w:val="28081174"/>
    <w:rsid w:val="28094EEC"/>
    <w:rsid w:val="28096C9A"/>
    <w:rsid w:val="281162D1"/>
    <w:rsid w:val="28123DA1"/>
    <w:rsid w:val="2815563F"/>
    <w:rsid w:val="28177609"/>
    <w:rsid w:val="28213FE4"/>
    <w:rsid w:val="28243AD4"/>
    <w:rsid w:val="28247630"/>
    <w:rsid w:val="2835025F"/>
    <w:rsid w:val="28373807"/>
    <w:rsid w:val="283755B5"/>
    <w:rsid w:val="28397580"/>
    <w:rsid w:val="283B2990"/>
    <w:rsid w:val="284321AC"/>
    <w:rsid w:val="28447DAF"/>
    <w:rsid w:val="28481571"/>
    <w:rsid w:val="28485A15"/>
    <w:rsid w:val="284F563F"/>
    <w:rsid w:val="28500425"/>
    <w:rsid w:val="28551EE0"/>
    <w:rsid w:val="28584A89"/>
    <w:rsid w:val="285B737A"/>
    <w:rsid w:val="285C326E"/>
    <w:rsid w:val="286670F3"/>
    <w:rsid w:val="286A598B"/>
    <w:rsid w:val="286D547B"/>
    <w:rsid w:val="287B6793"/>
    <w:rsid w:val="287B7B98"/>
    <w:rsid w:val="287F1375"/>
    <w:rsid w:val="28802805"/>
    <w:rsid w:val="288527C5"/>
    <w:rsid w:val="28893937"/>
    <w:rsid w:val="288B3B53"/>
    <w:rsid w:val="288D78CB"/>
    <w:rsid w:val="28904CC6"/>
    <w:rsid w:val="2895052E"/>
    <w:rsid w:val="28A10C81"/>
    <w:rsid w:val="28A420D1"/>
    <w:rsid w:val="28A6098D"/>
    <w:rsid w:val="28AA41B9"/>
    <w:rsid w:val="28AC5FA3"/>
    <w:rsid w:val="28B22E8E"/>
    <w:rsid w:val="28B24203"/>
    <w:rsid w:val="28B27332"/>
    <w:rsid w:val="28BE1833"/>
    <w:rsid w:val="28C17575"/>
    <w:rsid w:val="28CA735A"/>
    <w:rsid w:val="28D0769E"/>
    <w:rsid w:val="28F2772E"/>
    <w:rsid w:val="28F416F8"/>
    <w:rsid w:val="29037B8D"/>
    <w:rsid w:val="29043603"/>
    <w:rsid w:val="29060F9C"/>
    <w:rsid w:val="29086F52"/>
    <w:rsid w:val="290F208E"/>
    <w:rsid w:val="291678C1"/>
    <w:rsid w:val="29177195"/>
    <w:rsid w:val="291853E7"/>
    <w:rsid w:val="29194CBB"/>
    <w:rsid w:val="291C31C2"/>
    <w:rsid w:val="291F4B7F"/>
    <w:rsid w:val="29204714"/>
    <w:rsid w:val="29253660"/>
    <w:rsid w:val="2927562A"/>
    <w:rsid w:val="29280AC3"/>
    <w:rsid w:val="292813A2"/>
    <w:rsid w:val="292A336C"/>
    <w:rsid w:val="292C49EE"/>
    <w:rsid w:val="29477A7A"/>
    <w:rsid w:val="294C5091"/>
    <w:rsid w:val="294F2DD3"/>
    <w:rsid w:val="29564161"/>
    <w:rsid w:val="295B71C5"/>
    <w:rsid w:val="295F4405"/>
    <w:rsid w:val="2964062C"/>
    <w:rsid w:val="2967011C"/>
    <w:rsid w:val="29673C78"/>
    <w:rsid w:val="29693E94"/>
    <w:rsid w:val="296C74E1"/>
    <w:rsid w:val="296E14AB"/>
    <w:rsid w:val="296F5223"/>
    <w:rsid w:val="297D16EE"/>
    <w:rsid w:val="298011DE"/>
    <w:rsid w:val="2984482A"/>
    <w:rsid w:val="298962E5"/>
    <w:rsid w:val="298D07B1"/>
    <w:rsid w:val="29915199"/>
    <w:rsid w:val="29932CBF"/>
    <w:rsid w:val="29934A6D"/>
    <w:rsid w:val="299627B0"/>
    <w:rsid w:val="299A22A0"/>
    <w:rsid w:val="299F1664"/>
    <w:rsid w:val="29AC1FD3"/>
    <w:rsid w:val="29B13146"/>
    <w:rsid w:val="29B42C36"/>
    <w:rsid w:val="29BD5BE0"/>
    <w:rsid w:val="29BF1D06"/>
    <w:rsid w:val="29D86924"/>
    <w:rsid w:val="29DA269C"/>
    <w:rsid w:val="29DE04FF"/>
    <w:rsid w:val="29DF4157"/>
    <w:rsid w:val="29E21551"/>
    <w:rsid w:val="29E67293"/>
    <w:rsid w:val="29EE439A"/>
    <w:rsid w:val="29F14773"/>
    <w:rsid w:val="29FB7852"/>
    <w:rsid w:val="2A0616E3"/>
    <w:rsid w:val="2A0B0AA8"/>
    <w:rsid w:val="2A102562"/>
    <w:rsid w:val="2A135BAE"/>
    <w:rsid w:val="2A1536D4"/>
    <w:rsid w:val="2A1F27A5"/>
    <w:rsid w:val="2A2102CB"/>
    <w:rsid w:val="2A263B34"/>
    <w:rsid w:val="2A2B4E3C"/>
    <w:rsid w:val="2A2C4823"/>
    <w:rsid w:val="2A3A138D"/>
    <w:rsid w:val="2A426494"/>
    <w:rsid w:val="2A44045E"/>
    <w:rsid w:val="2A44220C"/>
    <w:rsid w:val="2A465F84"/>
    <w:rsid w:val="2A4D12BF"/>
    <w:rsid w:val="2A4D1B1C"/>
    <w:rsid w:val="2A500BB0"/>
    <w:rsid w:val="2A506E02"/>
    <w:rsid w:val="2A5D507B"/>
    <w:rsid w:val="2A602AE0"/>
    <w:rsid w:val="2A6428AE"/>
    <w:rsid w:val="2A64640A"/>
    <w:rsid w:val="2A6603D4"/>
    <w:rsid w:val="2A6B1546"/>
    <w:rsid w:val="2A6B59EA"/>
    <w:rsid w:val="2A6B7798"/>
    <w:rsid w:val="2A7228D5"/>
    <w:rsid w:val="2A7523C5"/>
    <w:rsid w:val="2A770D67"/>
    <w:rsid w:val="2A7E571E"/>
    <w:rsid w:val="2A8D5961"/>
    <w:rsid w:val="2A8D770F"/>
    <w:rsid w:val="2A9E5653"/>
    <w:rsid w:val="2A9F38E6"/>
    <w:rsid w:val="2AA36F32"/>
    <w:rsid w:val="2AA607D0"/>
    <w:rsid w:val="2AAD20C8"/>
    <w:rsid w:val="2AB27175"/>
    <w:rsid w:val="2ABA24CE"/>
    <w:rsid w:val="2ABB0720"/>
    <w:rsid w:val="2ABE3D6C"/>
    <w:rsid w:val="2ABF1892"/>
    <w:rsid w:val="2AC46EA9"/>
    <w:rsid w:val="2ACC271C"/>
    <w:rsid w:val="2ACF7D27"/>
    <w:rsid w:val="2AD25A69"/>
    <w:rsid w:val="2AD43590"/>
    <w:rsid w:val="2AD502F3"/>
    <w:rsid w:val="2AD52E64"/>
    <w:rsid w:val="2AD76BDC"/>
    <w:rsid w:val="2AD846FB"/>
    <w:rsid w:val="2ADE7F6A"/>
    <w:rsid w:val="2AE337D3"/>
    <w:rsid w:val="2AE412F9"/>
    <w:rsid w:val="2AF05EF0"/>
    <w:rsid w:val="2AFA0B7E"/>
    <w:rsid w:val="2AFF3697"/>
    <w:rsid w:val="2B05199B"/>
    <w:rsid w:val="2B084FE7"/>
    <w:rsid w:val="2B141BDE"/>
    <w:rsid w:val="2B1B2F6C"/>
    <w:rsid w:val="2B231E21"/>
    <w:rsid w:val="2B25203D"/>
    <w:rsid w:val="2B25249A"/>
    <w:rsid w:val="2B287437"/>
    <w:rsid w:val="2B29508C"/>
    <w:rsid w:val="2B2D7144"/>
    <w:rsid w:val="2B2F0C93"/>
    <w:rsid w:val="2B30453E"/>
    <w:rsid w:val="2B3176EA"/>
    <w:rsid w:val="2B391645"/>
    <w:rsid w:val="2B397896"/>
    <w:rsid w:val="2B4324C3"/>
    <w:rsid w:val="2B471FB3"/>
    <w:rsid w:val="2B473D61"/>
    <w:rsid w:val="2B4B333F"/>
    <w:rsid w:val="2B4C581C"/>
    <w:rsid w:val="2B4D3342"/>
    <w:rsid w:val="2B4E665F"/>
    <w:rsid w:val="2B4F2C16"/>
    <w:rsid w:val="2B514BE0"/>
    <w:rsid w:val="2B520958"/>
    <w:rsid w:val="2B585F6F"/>
    <w:rsid w:val="2B674404"/>
    <w:rsid w:val="2B6F32B8"/>
    <w:rsid w:val="2B705680"/>
    <w:rsid w:val="2B7908D3"/>
    <w:rsid w:val="2B8C3E6A"/>
    <w:rsid w:val="2B986A10"/>
    <w:rsid w:val="2BA03472"/>
    <w:rsid w:val="2BA32F62"/>
    <w:rsid w:val="2BA50A88"/>
    <w:rsid w:val="2BAA2542"/>
    <w:rsid w:val="2BB4516F"/>
    <w:rsid w:val="2BC74EA2"/>
    <w:rsid w:val="2BCA6741"/>
    <w:rsid w:val="2BD001FB"/>
    <w:rsid w:val="2BD55811"/>
    <w:rsid w:val="2BD80E5D"/>
    <w:rsid w:val="2BE07D12"/>
    <w:rsid w:val="2BE772F2"/>
    <w:rsid w:val="2BEE0681"/>
    <w:rsid w:val="2BEE68D3"/>
    <w:rsid w:val="2BF3649C"/>
    <w:rsid w:val="2BF65180"/>
    <w:rsid w:val="2BF832AE"/>
    <w:rsid w:val="2C0734F1"/>
    <w:rsid w:val="2C0A4D8F"/>
    <w:rsid w:val="2C17070D"/>
    <w:rsid w:val="2C197C11"/>
    <w:rsid w:val="2C1B6A0E"/>
    <w:rsid w:val="2C1F5E56"/>
    <w:rsid w:val="2C210A56"/>
    <w:rsid w:val="2C2220D9"/>
    <w:rsid w:val="2C2916B9"/>
    <w:rsid w:val="2C300C99"/>
    <w:rsid w:val="2C3F712F"/>
    <w:rsid w:val="2C424529"/>
    <w:rsid w:val="2C477D91"/>
    <w:rsid w:val="2C4D184B"/>
    <w:rsid w:val="2C4E1120"/>
    <w:rsid w:val="2C520AB7"/>
    <w:rsid w:val="2C5459E2"/>
    <w:rsid w:val="2C55425C"/>
    <w:rsid w:val="2C7212B2"/>
    <w:rsid w:val="2C7548FE"/>
    <w:rsid w:val="2C78619D"/>
    <w:rsid w:val="2C7C4FC5"/>
    <w:rsid w:val="2C7C5C8D"/>
    <w:rsid w:val="2C8114F5"/>
    <w:rsid w:val="2C842D93"/>
    <w:rsid w:val="2C8E59C0"/>
    <w:rsid w:val="2C92725E"/>
    <w:rsid w:val="2C931228"/>
    <w:rsid w:val="2C94435C"/>
    <w:rsid w:val="2C950AFD"/>
    <w:rsid w:val="2C95135D"/>
    <w:rsid w:val="2C952726"/>
    <w:rsid w:val="2C974875"/>
    <w:rsid w:val="2C9F3729"/>
    <w:rsid w:val="2CA174A1"/>
    <w:rsid w:val="2CA22032"/>
    <w:rsid w:val="2CA6015D"/>
    <w:rsid w:val="2CA945A8"/>
    <w:rsid w:val="2CAB0320"/>
    <w:rsid w:val="2CB5119F"/>
    <w:rsid w:val="2CB52F4D"/>
    <w:rsid w:val="2CB77889"/>
    <w:rsid w:val="2CB847EB"/>
    <w:rsid w:val="2CD45AC9"/>
    <w:rsid w:val="2CD535EF"/>
    <w:rsid w:val="2CE23872"/>
    <w:rsid w:val="2CE33F5E"/>
    <w:rsid w:val="2CE51A84"/>
    <w:rsid w:val="2CEA52EC"/>
    <w:rsid w:val="2CEB696E"/>
    <w:rsid w:val="2CF00429"/>
    <w:rsid w:val="2CF41CC7"/>
    <w:rsid w:val="2CF9552F"/>
    <w:rsid w:val="2CF972DD"/>
    <w:rsid w:val="2CFC0B7C"/>
    <w:rsid w:val="2CFC6DCE"/>
    <w:rsid w:val="2CFF16E5"/>
    <w:rsid w:val="2D0143E4"/>
    <w:rsid w:val="2D0619FA"/>
    <w:rsid w:val="2D142369"/>
    <w:rsid w:val="2D19172E"/>
    <w:rsid w:val="2D1C121E"/>
    <w:rsid w:val="2D2105E2"/>
    <w:rsid w:val="2D216834"/>
    <w:rsid w:val="2D241E80"/>
    <w:rsid w:val="2D2C1F30"/>
    <w:rsid w:val="2D3227EF"/>
    <w:rsid w:val="2D377E06"/>
    <w:rsid w:val="2D452523"/>
    <w:rsid w:val="2D4608E8"/>
    <w:rsid w:val="2D46629B"/>
    <w:rsid w:val="2D4744ED"/>
    <w:rsid w:val="2D480265"/>
    <w:rsid w:val="2D485B6F"/>
    <w:rsid w:val="2D4A18E7"/>
    <w:rsid w:val="2D4D587B"/>
    <w:rsid w:val="2D5B1D46"/>
    <w:rsid w:val="2D5C609F"/>
    <w:rsid w:val="2D5E5392"/>
    <w:rsid w:val="2D616C31"/>
    <w:rsid w:val="2D6706EB"/>
    <w:rsid w:val="2D67693D"/>
    <w:rsid w:val="2D6A1F89"/>
    <w:rsid w:val="2D6A707E"/>
    <w:rsid w:val="2D713318"/>
    <w:rsid w:val="2D7352E2"/>
    <w:rsid w:val="2D863EDD"/>
    <w:rsid w:val="2D8A6187"/>
    <w:rsid w:val="2D8B25AD"/>
    <w:rsid w:val="2D8D7A26"/>
    <w:rsid w:val="2D8D7A4F"/>
    <w:rsid w:val="2D8E211C"/>
    <w:rsid w:val="2D915768"/>
    <w:rsid w:val="2D9708A4"/>
    <w:rsid w:val="2DA07759"/>
    <w:rsid w:val="2DA60AE7"/>
    <w:rsid w:val="2DA76D39"/>
    <w:rsid w:val="2DAC07F4"/>
    <w:rsid w:val="2DAF3E40"/>
    <w:rsid w:val="2DB15A09"/>
    <w:rsid w:val="2DB72CF5"/>
    <w:rsid w:val="2DB80F46"/>
    <w:rsid w:val="2DB815CA"/>
    <w:rsid w:val="2DC84F02"/>
    <w:rsid w:val="2DC919C4"/>
    <w:rsid w:val="2DCA6ECC"/>
    <w:rsid w:val="2DCC49F2"/>
    <w:rsid w:val="2DD83397"/>
    <w:rsid w:val="2DDB2E87"/>
    <w:rsid w:val="2DDC770B"/>
    <w:rsid w:val="2DE03FF9"/>
    <w:rsid w:val="2DE47F8D"/>
    <w:rsid w:val="2DE7182C"/>
    <w:rsid w:val="2DEC6E42"/>
    <w:rsid w:val="2DEC7F0E"/>
    <w:rsid w:val="2DEF248E"/>
    <w:rsid w:val="2DFB52D7"/>
    <w:rsid w:val="2DFD104F"/>
    <w:rsid w:val="2DFE0923"/>
    <w:rsid w:val="2E0F48DF"/>
    <w:rsid w:val="2E110657"/>
    <w:rsid w:val="2E1168A9"/>
    <w:rsid w:val="2E132621"/>
    <w:rsid w:val="2E150147"/>
    <w:rsid w:val="2E184449"/>
    <w:rsid w:val="2E20089A"/>
    <w:rsid w:val="2E240F9E"/>
    <w:rsid w:val="2E24482E"/>
    <w:rsid w:val="2E276A03"/>
    <w:rsid w:val="2E285B3C"/>
    <w:rsid w:val="2E2A1718"/>
    <w:rsid w:val="2E2C5491"/>
    <w:rsid w:val="2E2D50B7"/>
    <w:rsid w:val="2E2E2FB7"/>
    <w:rsid w:val="2E2E745B"/>
    <w:rsid w:val="2E3031D3"/>
    <w:rsid w:val="2E3A195C"/>
    <w:rsid w:val="2E3B3926"/>
    <w:rsid w:val="2E4722CA"/>
    <w:rsid w:val="2E4764E0"/>
    <w:rsid w:val="2E494294"/>
    <w:rsid w:val="2E4E5407"/>
    <w:rsid w:val="2E56075F"/>
    <w:rsid w:val="2E6030E0"/>
    <w:rsid w:val="2E627104"/>
    <w:rsid w:val="2E631B8C"/>
    <w:rsid w:val="2E6331BE"/>
    <w:rsid w:val="2E652751"/>
    <w:rsid w:val="2E666BF4"/>
    <w:rsid w:val="2E6D10AE"/>
    <w:rsid w:val="2E6E5AA9"/>
    <w:rsid w:val="2E7035CF"/>
    <w:rsid w:val="2E731311"/>
    <w:rsid w:val="2E7B3D22"/>
    <w:rsid w:val="2E7D7A9A"/>
    <w:rsid w:val="2E840E29"/>
    <w:rsid w:val="2E870919"/>
    <w:rsid w:val="2E8928E3"/>
    <w:rsid w:val="2E8F225D"/>
    <w:rsid w:val="2E9372BE"/>
    <w:rsid w:val="2E9A389C"/>
    <w:rsid w:val="2EA72D69"/>
    <w:rsid w:val="2EA8720D"/>
    <w:rsid w:val="2EAB4607"/>
    <w:rsid w:val="2EBA6F40"/>
    <w:rsid w:val="2EBC05C2"/>
    <w:rsid w:val="2EBC4A66"/>
    <w:rsid w:val="2EBC6814"/>
    <w:rsid w:val="2EBD5D77"/>
    <w:rsid w:val="2EC13E2B"/>
    <w:rsid w:val="2EC4391B"/>
    <w:rsid w:val="2EC456C9"/>
    <w:rsid w:val="2ED26038"/>
    <w:rsid w:val="2ED3590C"/>
    <w:rsid w:val="2ED95618"/>
    <w:rsid w:val="2EDA6C9B"/>
    <w:rsid w:val="2EE144CD"/>
    <w:rsid w:val="2EE267B1"/>
    <w:rsid w:val="2EF04710"/>
    <w:rsid w:val="2EF066C0"/>
    <w:rsid w:val="2EFC3AB9"/>
    <w:rsid w:val="2F034443"/>
    <w:rsid w:val="2F067A90"/>
    <w:rsid w:val="2F0F6CDF"/>
    <w:rsid w:val="2F154177"/>
    <w:rsid w:val="2F1A178D"/>
    <w:rsid w:val="2F1F0594"/>
    <w:rsid w:val="2F1F0B51"/>
    <w:rsid w:val="2F1F6DA3"/>
    <w:rsid w:val="2F1F6E53"/>
    <w:rsid w:val="2F230642"/>
    <w:rsid w:val="2F2A5E74"/>
    <w:rsid w:val="2F3C1703"/>
    <w:rsid w:val="2F3F11ED"/>
    <w:rsid w:val="2F40249E"/>
    <w:rsid w:val="2F560A17"/>
    <w:rsid w:val="2F631386"/>
    <w:rsid w:val="2F6649D2"/>
    <w:rsid w:val="2F6A001E"/>
    <w:rsid w:val="2F6D5D61"/>
    <w:rsid w:val="2F6F7D2B"/>
    <w:rsid w:val="2F725125"/>
    <w:rsid w:val="2F77400C"/>
    <w:rsid w:val="2F7B66D0"/>
    <w:rsid w:val="2F7E3ACA"/>
    <w:rsid w:val="2F805A94"/>
    <w:rsid w:val="2F84064E"/>
    <w:rsid w:val="2F854E58"/>
    <w:rsid w:val="2F875074"/>
    <w:rsid w:val="2F9037FD"/>
    <w:rsid w:val="2F947791"/>
    <w:rsid w:val="2F963509"/>
    <w:rsid w:val="2F9652B7"/>
    <w:rsid w:val="2F972DDE"/>
    <w:rsid w:val="2F9B5B3B"/>
    <w:rsid w:val="2FA84FEB"/>
    <w:rsid w:val="2FAA2B11"/>
    <w:rsid w:val="2FAD2601"/>
    <w:rsid w:val="2FAF6379"/>
    <w:rsid w:val="2FB43990"/>
    <w:rsid w:val="2FBB2F70"/>
    <w:rsid w:val="2FBB4D1E"/>
    <w:rsid w:val="2FBC45F2"/>
    <w:rsid w:val="2FC040E2"/>
    <w:rsid w:val="2FC17E5A"/>
    <w:rsid w:val="2FC7586C"/>
    <w:rsid w:val="2FC85C24"/>
    <w:rsid w:val="2FCF07C9"/>
    <w:rsid w:val="2FD14541"/>
    <w:rsid w:val="2FD14C2F"/>
    <w:rsid w:val="2FD7142C"/>
    <w:rsid w:val="2FDD2BAB"/>
    <w:rsid w:val="2FE222AB"/>
    <w:rsid w:val="2FF43D8C"/>
    <w:rsid w:val="2FF65D56"/>
    <w:rsid w:val="2FF76305"/>
    <w:rsid w:val="2FF95846"/>
    <w:rsid w:val="2FFE2E5D"/>
    <w:rsid w:val="30004E27"/>
    <w:rsid w:val="30006BD5"/>
    <w:rsid w:val="30052067"/>
    <w:rsid w:val="3007380B"/>
    <w:rsid w:val="300761B5"/>
    <w:rsid w:val="30087837"/>
    <w:rsid w:val="300A7A53"/>
    <w:rsid w:val="301306B6"/>
    <w:rsid w:val="301B3A0F"/>
    <w:rsid w:val="30204B81"/>
    <w:rsid w:val="30234671"/>
    <w:rsid w:val="3025488D"/>
    <w:rsid w:val="303A20E7"/>
    <w:rsid w:val="303B7C0D"/>
    <w:rsid w:val="303C538C"/>
    <w:rsid w:val="303F76FD"/>
    <w:rsid w:val="304623A9"/>
    <w:rsid w:val="304E7940"/>
    <w:rsid w:val="304F5466"/>
    <w:rsid w:val="305111DE"/>
    <w:rsid w:val="30512BB9"/>
    <w:rsid w:val="305B02AF"/>
    <w:rsid w:val="305F38FB"/>
    <w:rsid w:val="30607673"/>
    <w:rsid w:val="30656A38"/>
    <w:rsid w:val="30676C54"/>
    <w:rsid w:val="306B6744"/>
    <w:rsid w:val="307750E9"/>
    <w:rsid w:val="307C26FF"/>
    <w:rsid w:val="30801AC4"/>
    <w:rsid w:val="30823A8E"/>
    <w:rsid w:val="30843362"/>
    <w:rsid w:val="308B46F0"/>
    <w:rsid w:val="30902350"/>
    <w:rsid w:val="30952D41"/>
    <w:rsid w:val="309537C1"/>
    <w:rsid w:val="3095731D"/>
    <w:rsid w:val="309923A3"/>
    <w:rsid w:val="309B06AC"/>
    <w:rsid w:val="309C4B4F"/>
    <w:rsid w:val="30A63CC6"/>
    <w:rsid w:val="30A77050"/>
    <w:rsid w:val="30AA3AD7"/>
    <w:rsid w:val="30AB2B73"/>
    <w:rsid w:val="30B579BF"/>
    <w:rsid w:val="30C6397A"/>
    <w:rsid w:val="30CC6015"/>
    <w:rsid w:val="30D44173"/>
    <w:rsid w:val="30D81900"/>
    <w:rsid w:val="30DC13F0"/>
    <w:rsid w:val="30DD6AF1"/>
    <w:rsid w:val="30E12562"/>
    <w:rsid w:val="30E402A4"/>
    <w:rsid w:val="30E958BB"/>
    <w:rsid w:val="30EE2ED1"/>
    <w:rsid w:val="30EF0D7B"/>
    <w:rsid w:val="30F06C49"/>
    <w:rsid w:val="30F5600E"/>
    <w:rsid w:val="30F573E2"/>
    <w:rsid w:val="30F57DBC"/>
    <w:rsid w:val="310444A3"/>
    <w:rsid w:val="31061FC9"/>
    <w:rsid w:val="3106646D"/>
    <w:rsid w:val="310B6887"/>
    <w:rsid w:val="310E5321"/>
    <w:rsid w:val="31124E12"/>
    <w:rsid w:val="31126BC0"/>
    <w:rsid w:val="3115045E"/>
    <w:rsid w:val="311741D6"/>
    <w:rsid w:val="31197F4E"/>
    <w:rsid w:val="311A3CC6"/>
    <w:rsid w:val="311C17EC"/>
    <w:rsid w:val="311F752F"/>
    <w:rsid w:val="31224929"/>
    <w:rsid w:val="312406A1"/>
    <w:rsid w:val="312F7772"/>
    <w:rsid w:val="31350B00"/>
    <w:rsid w:val="313703D4"/>
    <w:rsid w:val="313A7956"/>
    <w:rsid w:val="313B4368"/>
    <w:rsid w:val="313C59EB"/>
    <w:rsid w:val="313F5F26"/>
    <w:rsid w:val="314765CC"/>
    <w:rsid w:val="3148438F"/>
    <w:rsid w:val="315234BD"/>
    <w:rsid w:val="315E0057"/>
    <w:rsid w:val="316136A3"/>
    <w:rsid w:val="31673ED8"/>
    <w:rsid w:val="316E7B6E"/>
    <w:rsid w:val="3172765E"/>
    <w:rsid w:val="3175714F"/>
    <w:rsid w:val="317653A0"/>
    <w:rsid w:val="317B29B7"/>
    <w:rsid w:val="317C672F"/>
    <w:rsid w:val="317E24A7"/>
    <w:rsid w:val="317E4255"/>
    <w:rsid w:val="31996B74"/>
    <w:rsid w:val="319A0963"/>
    <w:rsid w:val="319C46DB"/>
    <w:rsid w:val="319E0453"/>
    <w:rsid w:val="319E66A5"/>
    <w:rsid w:val="31AA329C"/>
    <w:rsid w:val="31B00187"/>
    <w:rsid w:val="31B61C41"/>
    <w:rsid w:val="31B6550C"/>
    <w:rsid w:val="31BB7257"/>
    <w:rsid w:val="31C205E6"/>
    <w:rsid w:val="31C37EBA"/>
    <w:rsid w:val="31C83722"/>
    <w:rsid w:val="31CB6D6E"/>
    <w:rsid w:val="31CF2D03"/>
    <w:rsid w:val="31D65E3F"/>
    <w:rsid w:val="31D71BB7"/>
    <w:rsid w:val="31DB3455"/>
    <w:rsid w:val="31E3230A"/>
    <w:rsid w:val="31E7004C"/>
    <w:rsid w:val="31E714C7"/>
    <w:rsid w:val="31E87583"/>
    <w:rsid w:val="31F167D5"/>
    <w:rsid w:val="31FE7144"/>
    <w:rsid w:val="320164D1"/>
    <w:rsid w:val="320C1861"/>
    <w:rsid w:val="320D55D9"/>
    <w:rsid w:val="320F4EAD"/>
    <w:rsid w:val="320F75A3"/>
    <w:rsid w:val="3216448E"/>
    <w:rsid w:val="32236BAB"/>
    <w:rsid w:val="32292413"/>
    <w:rsid w:val="322C5A5F"/>
    <w:rsid w:val="322E7A29"/>
    <w:rsid w:val="323808A8"/>
    <w:rsid w:val="32382656"/>
    <w:rsid w:val="323A4620"/>
    <w:rsid w:val="323B2146"/>
    <w:rsid w:val="3240150B"/>
    <w:rsid w:val="3240775C"/>
    <w:rsid w:val="324234D5"/>
    <w:rsid w:val="32470AEB"/>
    <w:rsid w:val="324A4137"/>
    <w:rsid w:val="325B00F2"/>
    <w:rsid w:val="325B4596"/>
    <w:rsid w:val="325D3E6B"/>
    <w:rsid w:val="32690A61"/>
    <w:rsid w:val="32700042"/>
    <w:rsid w:val="32724AAD"/>
    <w:rsid w:val="327613D0"/>
    <w:rsid w:val="32780CA4"/>
    <w:rsid w:val="328A09D8"/>
    <w:rsid w:val="328E2276"/>
    <w:rsid w:val="32911D66"/>
    <w:rsid w:val="32913C86"/>
    <w:rsid w:val="32933D30"/>
    <w:rsid w:val="32981347"/>
    <w:rsid w:val="329B4993"/>
    <w:rsid w:val="329F0927"/>
    <w:rsid w:val="32A970B0"/>
    <w:rsid w:val="32AB107A"/>
    <w:rsid w:val="32AB72CC"/>
    <w:rsid w:val="32AC094E"/>
    <w:rsid w:val="32AE2918"/>
    <w:rsid w:val="32B31CDC"/>
    <w:rsid w:val="32B37F2E"/>
    <w:rsid w:val="32B97C95"/>
    <w:rsid w:val="32C0264B"/>
    <w:rsid w:val="32CB34CA"/>
    <w:rsid w:val="32CC2D9E"/>
    <w:rsid w:val="32D560F7"/>
    <w:rsid w:val="32DD31FD"/>
    <w:rsid w:val="32E60304"/>
    <w:rsid w:val="32E75E2A"/>
    <w:rsid w:val="32E91BA2"/>
    <w:rsid w:val="32EC51EE"/>
    <w:rsid w:val="32F80F11"/>
    <w:rsid w:val="33016EEC"/>
    <w:rsid w:val="33024A12"/>
    <w:rsid w:val="33031C8B"/>
    <w:rsid w:val="330C763F"/>
    <w:rsid w:val="33150BE9"/>
    <w:rsid w:val="33180BF7"/>
    <w:rsid w:val="33185FE3"/>
    <w:rsid w:val="332251F3"/>
    <w:rsid w:val="33240E2C"/>
    <w:rsid w:val="33244988"/>
    <w:rsid w:val="332826CA"/>
    <w:rsid w:val="332B5D17"/>
    <w:rsid w:val="332E1CAB"/>
    <w:rsid w:val="3330157F"/>
    <w:rsid w:val="33356B95"/>
    <w:rsid w:val="333746BC"/>
    <w:rsid w:val="33380434"/>
    <w:rsid w:val="333A0650"/>
    <w:rsid w:val="333C6176"/>
    <w:rsid w:val="333D5A4A"/>
    <w:rsid w:val="3341553A"/>
    <w:rsid w:val="3344502A"/>
    <w:rsid w:val="334D2131"/>
    <w:rsid w:val="334D3EDF"/>
    <w:rsid w:val="33550FE6"/>
    <w:rsid w:val="3355548A"/>
    <w:rsid w:val="335A484E"/>
    <w:rsid w:val="335C05C6"/>
    <w:rsid w:val="3361798A"/>
    <w:rsid w:val="33631954"/>
    <w:rsid w:val="336456CD"/>
    <w:rsid w:val="336B0809"/>
    <w:rsid w:val="336E570A"/>
    <w:rsid w:val="33750FD2"/>
    <w:rsid w:val="337551E4"/>
    <w:rsid w:val="337E1556"/>
    <w:rsid w:val="337F42B4"/>
    <w:rsid w:val="33835B53"/>
    <w:rsid w:val="338A5133"/>
    <w:rsid w:val="3390372F"/>
    <w:rsid w:val="33913893"/>
    <w:rsid w:val="33953AD8"/>
    <w:rsid w:val="33955886"/>
    <w:rsid w:val="339A2E9C"/>
    <w:rsid w:val="33A1247D"/>
    <w:rsid w:val="33A65CE5"/>
    <w:rsid w:val="33AD7074"/>
    <w:rsid w:val="33B0104D"/>
    <w:rsid w:val="33B73A4E"/>
    <w:rsid w:val="33C10429"/>
    <w:rsid w:val="33C277D3"/>
    <w:rsid w:val="33CD6DCE"/>
    <w:rsid w:val="33D26ADA"/>
    <w:rsid w:val="33D4015C"/>
    <w:rsid w:val="33D95773"/>
    <w:rsid w:val="33DB2BDC"/>
    <w:rsid w:val="33DF6B01"/>
    <w:rsid w:val="33E74334"/>
    <w:rsid w:val="33E759B9"/>
    <w:rsid w:val="33EB0AD0"/>
    <w:rsid w:val="33EC02F3"/>
    <w:rsid w:val="33F057A9"/>
    <w:rsid w:val="33F423AE"/>
    <w:rsid w:val="340053F5"/>
    <w:rsid w:val="34014CC9"/>
    <w:rsid w:val="34052A0C"/>
    <w:rsid w:val="34057798"/>
    <w:rsid w:val="341669C7"/>
    <w:rsid w:val="341744ED"/>
    <w:rsid w:val="34190265"/>
    <w:rsid w:val="341964B7"/>
    <w:rsid w:val="341D7D55"/>
    <w:rsid w:val="341E0953"/>
    <w:rsid w:val="341E6D68"/>
    <w:rsid w:val="34232E92"/>
    <w:rsid w:val="342B5D7A"/>
    <w:rsid w:val="342F5CDB"/>
    <w:rsid w:val="343A08C2"/>
    <w:rsid w:val="34474DD2"/>
    <w:rsid w:val="344D7F0F"/>
    <w:rsid w:val="344F1ED9"/>
    <w:rsid w:val="344F3C87"/>
    <w:rsid w:val="34545741"/>
    <w:rsid w:val="345D63A4"/>
    <w:rsid w:val="346A286F"/>
    <w:rsid w:val="346A6D13"/>
    <w:rsid w:val="346C157F"/>
    <w:rsid w:val="346C4839"/>
    <w:rsid w:val="346F4329"/>
    <w:rsid w:val="34713BFD"/>
    <w:rsid w:val="347831DE"/>
    <w:rsid w:val="34802092"/>
    <w:rsid w:val="34847DD4"/>
    <w:rsid w:val="34871673"/>
    <w:rsid w:val="34897199"/>
    <w:rsid w:val="348E4338"/>
    <w:rsid w:val="3491429F"/>
    <w:rsid w:val="34963664"/>
    <w:rsid w:val="3498562E"/>
    <w:rsid w:val="349F1221"/>
    <w:rsid w:val="349F69BC"/>
    <w:rsid w:val="34A915E9"/>
    <w:rsid w:val="34A9783B"/>
    <w:rsid w:val="34AC6A12"/>
    <w:rsid w:val="34AE3693"/>
    <w:rsid w:val="34AE4E51"/>
    <w:rsid w:val="34B561E0"/>
    <w:rsid w:val="34BA1A48"/>
    <w:rsid w:val="34BE3DF6"/>
    <w:rsid w:val="34BF2BBB"/>
    <w:rsid w:val="34C12DD7"/>
    <w:rsid w:val="34C957E7"/>
    <w:rsid w:val="34D10B40"/>
    <w:rsid w:val="34D16D92"/>
    <w:rsid w:val="34DD23BF"/>
    <w:rsid w:val="34E02B31"/>
    <w:rsid w:val="34E24AFB"/>
    <w:rsid w:val="34E73EBF"/>
    <w:rsid w:val="34F30AB6"/>
    <w:rsid w:val="34F52A80"/>
    <w:rsid w:val="34F565DC"/>
    <w:rsid w:val="34FA0097"/>
    <w:rsid w:val="34FA3BF3"/>
    <w:rsid w:val="34FC3E0F"/>
    <w:rsid w:val="35004F81"/>
    <w:rsid w:val="35011425"/>
    <w:rsid w:val="350852F4"/>
    <w:rsid w:val="350B5F84"/>
    <w:rsid w:val="350C3926"/>
    <w:rsid w:val="35132F06"/>
    <w:rsid w:val="3514153B"/>
    <w:rsid w:val="35145259"/>
    <w:rsid w:val="351849C1"/>
    <w:rsid w:val="351D1843"/>
    <w:rsid w:val="35246EC1"/>
    <w:rsid w:val="35260E8C"/>
    <w:rsid w:val="353A0493"/>
    <w:rsid w:val="353E0D3F"/>
    <w:rsid w:val="354130A8"/>
    <w:rsid w:val="35417A73"/>
    <w:rsid w:val="3550415A"/>
    <w:rsid w:val="35544D9D"/>
    <w:rsid w:val="35577297"/>
    <w:rsid w:val="3558300F"/>
    <w:rsid w:val="355E24AB"/>
    <w:rsid w:val="355E2D37"/>
    <w:rsid w:val="355E6BA2"/>
    <w:rsid w:val="355F614C"/>
    <w:rsid w:val="356263B6"/>
    <w:rsid w:val="356419B4"/>
    <w:rsid w:val="356674DA"/>
    <w:rsid w:val="35697E4A"/>
    <w:rsid w:val="35727C2D"/>
    <w:rsid w:val="35780FBB"/>
    <w:rsid w:val="357E2A76"/>
    <w:rsid w:val="357E3492"/>
    <w:rsid w:val="35843E04"/>
    <w:rsid w:val="359202CF"/>
    <w:rsid w:val="35926521"/>
    <w:rsid w:val="35965375"/>
    <w:rsid w:val="3599165E"/>
    <w:rsid w:val="359D0A22"/>
    <w:rsid w:val="35A90EA2"/>
    <w:rsid w:val="35AC3993"/>
    <w:rsid w:val="35AE2C2F"/>
    <w:rsid w:val="35AF3E51"/>
    <w:rsid w:val="35B30245"/>
    <w:rsid w:val="35BA15D4"/>
    <w:rsid w:val="35BC17F0"/>
    <w:rsid w:val="35BE2E72"/>
    <w:rsid w:val="35CB558F"/>
    <w:rsid w:val="35D07049"/>
    <w:rsid w:val="35D24B6F"/>
    <w:rsid w:val="35D2691D"/>
    <w:rsid w:val="35D41F4B"/>
    <w:rsid w:val="35D46B3A"/>
    <w:rsid w:val="35D54660"/>
    <w:rsid w:val="35D94150"/>
    <w:rsid w:val="35DC154A"/>
    <w:rsid w:val="35DC779C"/>
    <w:rsid w:val="35DE52C2"/>
    <w:rsid w:val="35E36D7D"/>
    <w:rsid w:val="35E6686D"/>
    <w:rsid w:val="35E87EEF"/>
    <w:rsid w:val="35E93C67"/>
    <w:rsid w:val="35EA1EB9"/>
    <w:rsid w:val="35EA3BFF"/>
    <w:rsid w:val="35EF127D"/>
    <w:rsid w:val="35F42D38"/>
    <w:rsid w:val="35F9034E"/>
    <w:rsid w:val="36010FB1"/>
    <w:rsid w:val="360311CD"/>
    <w:rsid w:val="36047377"/>
    <w:rsid w:val="36056CF3"/>
    <w:rsid w:val="360A3AE4"/>
    <w:rsid w:val="360C62D3"/>
    <w:rsid w:val="361231BE"/>
    <w:rsid w:val="36146F36"/>
    <w:rsid w:val="36157392"/>
    <w:rsid w:val="361C5DEB"/>
    <w:rsid w:val="36243D90"/>
    <w:rsid w:val="36267B40"/>
    <w:rsid w:val="36323860"/>
    <w:rsid w:val="36363350"/>
    <w:rsid w:val="36392E40"/>
    <w:rsid w:val="3639699D"/>
    <w:rsid w:val="36414A71"/>
    <w:rsid w:val="36415851"/>
    <w:rsid w:val="364634BD"/>
    <w:rsid w:val="3647730B"/>
    <w:rsid w:val="366B28CE"/>
    <w:rsid w:val="366C4FC4"/>
    <w:rsid w:val="366E2AEA"/>
    <w:rsid w:val="367125DA"/>
    <w:rsid w:val="36721EAF"/>
    <w:rsid w:val="367D665B"/>
    <w:rsid w:val="368645BD"/>
    <w:rsid w:val="368C11C2"/>
    <w:rsid w:val="368C2F70"/>
    <w:rsid w:val="368F2A60"/>
    <w:rsid w:val="36925E93"/>
    <w:rsid w:val="369D517D"/>
    <w:rsid w:val="369E0EF6"/>
    <w:rsid w:val="36A007CA"/>
    <w:rsid w:val="36A54032"/>
    <w:rsid w:val="36A77DAA"/>
    <w:rsid w:val="36AA1648"/>
    <w:rsid w:val="36AC716F"/>
    <w:rsid w:val="36AE1139"/>
    <w:rsid w:val="36B10C29"/>
    <w:rsid w:val="36B44275"/>
    <w:rsid w:val="36B6623F"/>
    <w:rsid w:val="36BE6EA2"/>
    <w:rsid w:val="36C070BE"/>
    <w:rsid w:val="36C22E36"/>
    <w:rsid w:val="36C546D4"/>
    <w:rsid w:val="36D641EB"/>
    <w:rsid w:val="36D87F64"/>
    <w:rsid w:val="36DA0180"/>
    <w:rsid w:val="36DF3D38"/>
    <w:rsid w:val="36DF5285"/>
    <w:rsid w:val="36E42DAC"/>
    <w:rsid w:val="36E57A2B"/>
    <w:rsid w:val="36EA5EE9"/>
    <w:rsid w:val="36EE3C2B"/>
    <w:rsid w:val="36EE59D9"/>
    <w:rsid w:val="36F178BC"/>
    <w:rsid w:val="36FD5C1C"/>
    <w:rsid w:val="3700570C"/>
    <w:rsid w:val="370451FC"/>
    <w:rsid w:val="37046FAB"/>
    <w:rsid w:val="37092813"/>
    <w:rsid w:val="370E607B"/>
    <w:rsid w:val="371A67CE"/>
    <w:rsid w:val="371A67E9"/>
    <w:rsid w:val="37225683"/>
    <w:rsid w:val="37275330"/>
    <w:rsid w:val="37307DA0"/>
    <w:rsid w:val="37335AE2"/>
    <w:rsid w:val="37403D5B"/>
    <w:rsid w:val="3747333B"/>
    <w:rsid w:val="374B2E2B"/>
    <w:rsid w:val="37517D16"/>
    <w:rsid w:val="37555A58"/>
    <w:rsid w:val="37556124"/>
    <w:rsid w:val="375717D0"/>
    <w:rsid w:val="375872F6"/>
    <w:rsid w:val="375B2943"/>
    <w:rsid w:val="375D116C"/>
    <w:rsid w:val="375D490D"/>
    <w:rsid w:val="37621F23"/>
    <w:rsid w:val="37661A13"/>
    <w:rsid w:val="376E4733"/>
    <w:rsid w:val="376E56AF"/>
    <w:rsid w:val="37757EA8"/>
    <w:rsid w:val="37831746"/>
    <w:rsid w:val="37832A6C"/>
    <w:rsid w:val="378679C0"/>
    <w:rsid w:val="37893954"/>
    <w:rsid w:val="378B147A"/>
    <w:rsid w:val="378E3A17"/>
    <w:rsid w:val="37906A90"/>
    <w:rsid w:val="37936580"/>
    <w:rsid w:val="37955E55"/>
    <w:rsid w:val="37996756"/>
    <w:rsid w:val="379F4F25"/>
    <w:rsid w:val="37A147F9"/>
    <w:rsid w:val="37A91900"/>
    <w:rsid w:val="37A963E4"/>
    <w:rsid w:val="37AC319E"/>
    <w:rsid w:val="37B00EE0"/>
    <w:rsid w:val="37B207B5"/>
    <w:rsid w:val="37C14E9C"/>
    <w:rsid w:val="37C4673A"/>
    <w:rsid w:val="37C72686"/>
    <w:rsid w:val="37C93D50"/>
    <w:rsid w:val="37CA01F4"/>
    <w:rsid w:val="37CB2D9B"/>
    <w:rsid w:val="37DB688A"/>
    <w:rsid w:val="37DE5A4E"/>
    <w:rsid w:val="37DE77FC"/>
    <w:rsid w:val="37ED3EE3"/>
    <w:rsid w:val="37F54B45"/>
    <w:rsid w:val="37F708BD"/>
    <w:rsid w:val="38042FDA"/>
    <w:rsid w:val="38080D1C"/>
    <w:rsid w:val="3814146F"/>
    <w:rsid w:val="381C20D2"/>
    <w:rsid w:val="382221C6"/>
    <w:rsid w:val="382D0783"/>
    <w:rsid w:val="382F44FB"/>
    <w:rsid w:val="38327B47"/>
    <w:rsid w:val="3834566E"/>
    <w:rsid w:val="383B4C4E"/>
    <w:rsid w:val="38404012"/>
    <w:rsid w:val="38451629"/>
    <w:rsid w:val="38455ACD"/>
    <w:rsid w:val="38482EC7"/>
    <w:rsid w:val="384B29B7"/>
    <w:rsid w:val="384D2BD3"/>
    <w:rsid w:val="384D4981"/>
    <w:rsid w:val="38500654"/>
    <w:rsid w:val="385201EA"/>
    <w:rsid w:val="38523D46"/>
    <w:rsid w:val="38547ABE"/>
    <w:rsid w:val="385555E4"/>
    <w:rsid w:val="3857135C"/>
    <w:rsid w:val="38582006"/>
    <w:rsid w:val="385C6972"/>
    <w:rsid w:val="385E093C"/>
    <w:rsid w:val="38606463"/>
    <w:rsid w:val="38613F89"/>
    <w:rsid w:val="38657F1D"/>
    <w:rsid w:val="3869321C"/>
    <w:rsid w:val="386A5533"/>
    <w:rsid w:val="3878382F"/>
    <w:rsid w:val="387B14EE"/>
    <w:rsid w:val="387B329C"/>
    <w:rsid w:val="387C0DC3"/>
    <w:rsid w:val="387D5266"/>
    <w:rsid w:val="38871C41"/>
    <w:rsid w:val="38881374"/>
    <w:rsid w:val="38887767"/>
    <w:rsid w:val="38893F26"/>
    <w:rsid w:val="388A1731"/>
    <w:rsid w:val="38926838"/>
    <w:rsid w:val="3894435E"/>
    <w:rsid w:val="389920E9"/>
    <w:rsid w:val="389E342F"/>
    <w:rsid w:val="38A24CCD"/>
    <w:rsid w:val="38A30A45"/>
    <w:rsid w:val="38A327F3"/>
    <w:rsid w:val="38A345A1"/>
    <w:rsid w:val="38A722E3"/>
    <w:rsid w:val="38AD5420"/>
    <w:rsid w:val="38B061B6"/>
    <w:rsid w:val="38B44330"/>
    <w:rsid w:val="38C42E95"/>
    <w:rsid w:val="38C56C0D"/>
    <w:rsid w:val="38CC1D4A"/>
    <w:rsid w:val="38CC5E45"/>
    <w:rsid w:val="38CF183A"/>
    <w:rsid w:val="38D155B2"/>
    <w:rsid w:val="38D34E86"/>
    <w:rsid w:val="38D45B95"/>
    <w:rsid w:val="38D67AE9"/>
    <w:rsid w:val="38D86941"/>
    <w:rsid w:val="38DB1F8D"/>
    <w:rsid w:val="38DD7AB3"/>
    <w:rsid w:val="38F4304F"/>
    <w:rsid w:val="38F82B3F"/>
    <w:rsid w:val="38F8669B"/>
    <w:rsid w:val="38FB43DD"/>
    <w:rsid w:val="38FD63A7"/>
    <w:rsid w:val="38FE7A29"/>
    <w:rsid w:val="390019F4"/>
    <w:rsid w:val="39027EFE"/>
    <w:rsid w:val="39072D82"/>
    <w:rsid w:val="390F47A4"/>
    <w:rsid w:val="390F7E89"/>
    <w:rsid w:val="39194863"/>
    <w:rsid w:val="391D07F7"/>
    <w:rsid w:val="39317DFF"/>
    <w:rsid w:val="39331DC9"/>
    <w:rsid w:val="39355B41"/>
    <w:rsid w:val="3938118D"/>
    <w:rsid w:val="393B2A2C"/>
    <w:rsid w:val="393C6ED0"/>
    <w:rsid w:val="39477622"/>
    <w:rsid w:val="3949339B"/>
    <w:rsid w:val="394C4C39"/>
    <w:rsid w:val="3951224F"/>
    <w:rsid w:val="39552AD9"/>
    <w:rsid w:val="39581830"/>
    <w:rsid w:val="395B30CE"/>
    <w:rsid w:val="395D29A2"/>
    <w:rsid w:val="395D6E46"/>
    <w:rsid w:val="396226AE"/>
    <w:rsid w:val="39672100"/>
    <w:rsid w:val="396B1563"/>
    <w:rsid w:val="396B2D85"/>
    <w:rsid w:val="39700927"/>
    <w:rsid w:val="3971469F"/>
    <w:rsid w:val="397C551E"/>
    <w:rsid w:val="397F0B6A"/>
    <w:rsid w:val="398268AC"/>
    <w:rsid w:val="39873EC3"/>
    <w:rsid w:val="398C3287"/>
    <w:rsid w:val="39900FC9"/>
    <w:rsid w:val="39910B7C"/>
    <w:rsid w:val="39965EB4"/>
    <w:rsid w:val="39981C2C"/>
    <w:rsid w:val="39A20CFD"/>
    <w:rsid w:val="39A405D1"/>
    <w:rsid w:val="39A71E6F"/>
    <w:rsid w:val="39A84565"/>
    <w:rsid w:val="39AB195F"/>
    <w:rsid w:val="39AE76A2"/>
    <w:rsid w:val="39B27192"/>
    <w:rsid w:val="39B5458C"/>
    <w:rsid w:val="39BA7DF4"/>
    <w:rsid w:val="39C11183"/>
    <w:rsid w:val="39C40C73"/>
    <w:rsid w:val="39C90465"/>
    <w:rsid w:val="39C96289"/>
    <w:rsid w:val="39CB0253"/>
    <w:rsid w:val="39D52E80"/>
    <w:rsid w:val="39D72754"/>
    <w:rsid w:val="39D92970"/>
    <w:rsid w:val="39DC420F"/>
    <w:rsid w:val="39DF785B"/>
    <w:rsid w:val="39E3734B"/>
    <w:rsid w:val="39E66E3B"/>
    <w:rsid w:val="39F2709A"/>
    <w:rsid w:val="39F5707E"/>
    <w:rsid w:val="39FA6443"/>
    <w:rsid w:val="3A140A95"/>
    <w:rsid w:val="3A15327D"/>
    <w:rsid w:val="3A157721"/>
    <w:rsid w:val="3A173211"/>
    <w:rsid w:val="3A1A23A1"/>
    <w:rsid w:val="3A1C1930"/>
    <w:rsid w:val="3A211C22"/>
    <w:rsid w:val="3A2160C5"/>
    <w:rsid w:val="3A23599A"/>
    <w:rsid w:val="3A2D05C6"/>
    <w:rsid w:val="3A2D6B9F"/>
    <w:rsid w:val="3A2E433E"/>
    <w:rsid w:val="3A30627B"/>
    <w:rsid w:val="3A322081"/>
    <w:rsid w:val="3A3354AB"/>
    <w:rsid w:val="3A345DF9"/>
    <w:rsid w:val="3A396F6B"/>
    <w:rsid w:val="3A4F195A"/>
    <w:rsid w:val="3A541FF7"/>
    <w:rsid w:val="3A5B3385"/>
    <w:rsid w:val="3A663D05"/>
    <w:rsid w:val="3A665044"/>
    <w:rsid w:val="3A6A181A"/>
    <w:rsid w:val="3A706705"/>
    <w:rsid w:val="3A7E7074"/>
    <w:rsid w:val="3A802DEC"/>
    <w:rsid w:val="3A810912"/>
    <w:rsid w:val="3A830B2E"/>
    <w:rsid w:val="3A83468A"/>
    <w:rsid w:val="3A8A77C7"/>
    <w:rsid w:val="3A900B55"/>
    <w:rsid w:val="3A920D71"/>
    <w:rsid w:val="3A992100"/>
    <w:rsid w:val="3AA20FB4"/>
    <w:rsid w:val="3AAA60BB"/>
    <w:rsid w:val="3AAD7959"/>
    <w:rsid w:val="3ABB02C8"/>
    <w:rsid w:val="3ABE56C2"/>
    <w:rsid w:val="3AC60BDB"/>
    <w:rsid w:val="3ACF46CF"/>
    <w:rsid w:val="3AD924FC"/>
    <w:rsid w:val="3ADB0022"/>
    <w:rsid w:val="3ADB2718"/>
    <w:rsid w:val="3ADB3B42"/>
    <w:rsid w:val="3ADD6E62"/>
    <w:rsid w:val="3ADE5C5A"/>
    <w:rsid w:val="3ADE7B13"/>
    <w:rsid w:val="3AE25855"/>
    <w:rsid w:val="3AE80991"/>
    <w:rsid w:val="3AEA64B7"/>
    <w:rsid w:val="3AEC0481"/>
    <w:rsid w:val="3AF31810"/>
    <w:rsid w:val="3AF85078"/>
    <w:rsid w:val="3B023801"/>
    <w:rsid w:val="3B043A1D"/>
    <w:rsid w:val="3B051157"/>
    <w:rsid w:val="3B0752BB"/>
    <w:rsid w:val="3B0A6B5A"/>
    <w:rsid w:val="3B0D21A6"/>
    <w:rsid w:val="3B0E664A"/>
    <w:rsid w:val="3B0F4170"/>
    <w:rsid w:val="3B1874C8"/>
    <w:rsid w:val="3B190B4B"/>
    <w:rsid w:val="3B1A3241"/>
    <w:rsid w:val="3B1B2B15"/>
    <w:rsid w:val="3B1D063B"/>
    <w:rsid w:val="3B2A2D58"/>
    <w:rsid w:val="3B2A71FC"/>
    <w:rsid w:val="3B2C087E"/>
    <w:rsid w:val="3B2C4D22"/>
    <w:rsid w:val="3B312BB1"/>
    <w:rsid w:val="3B3B31B7"/>
    <w:rsid w:val="3B3D0CDD"/>
    <w:rsid w:val="3B3F2CA7"/>
    <w:rsid w:val="3B417482"/>
    <w:rsid w:val="3B471B5C"/>
    <w:rsid w:val="3B491430"/>
    <w:rsid w:val="3B4958D4"/>
    <w:rsid w:val="3B4C7172"/>
    <w:rsid w:val="3B4D066A"/>
    <w:rsid w:val="3B53405D"/>
    <w:rsid w:val="3B590554"/>
    <w:rsid w:val="3B5D4EDB"/>
    <w:rsid w:val="3B5E2A01"/>
    <w:rsid w:val="3B5F50F7"/>
    <w:rsid w:val="3B602C1D"/>
    <w:rsid w:val="3B653D90"/>
    <w:rsid w:val="3B660234"/>
    <w:rsid w:val="3B70073D"/>
    <w:rsid w:val="3B762441"/>
    <w:rsid w:val="3B765F9D"/>
    <w:rsid w:val="3B7D557D"/>
    <w:rsid w:val="3B822B94"/>
    <w:rsid w:val="3B8907CC"/>
    <w:rsid w:val="3B8A37F6"/>
    <w:rsid w:val="3B8E46EA"/>
    <w:rsid w:val="3B944428"/>
    <w:rsid w:val="3B9633DA"/>
    <w:rsid w:val="3B9D177C"/>
    <w:rsid w:val="3B9D79CE"/>
    <w:rsid w:val="3B9F72A2"/>
    <w:rsid w:val="3BA66882"/>
    <w:rsid w:val="3BA743A8"/>
    <w:rsid w:val="3BB865B6"/>
    <w:rsid w:val="3BBB7E54"/>
    <w:rsid w:val="3BC74A4B"/>
    <w:rsid w:val="3BCD02B3"/>
    <w:rsid w:val="3BD258C9"/>
    <w:rsid w:val="3BE178BA"/>
    <w:rsid w:val="3BEE0229"/>
    <w:rsid w:val="3BF07939"/>
    <w:rsid w:val="3BF70E8C"/>
    <w:rsid w:val="3BFA4E20"/>
    <w:rsid w:val="3BFC64A2"/>
    <w:rsid w:val="3C011D0B"/>
    <w:rsid w:val="3C065573"/>
    <w:rsid w:val="3C074E47"/>
    <w:rsid w:val="3C0B2B89"/>
    <w:rsid w:val="3C1001A0"/>
    <w:rsid w:val="3C101F4E"/>
    <w:rsid w:val="3C14642C"/>
    <w:rsid w:val="3C1C08F2"/>
    <w:rsid w:val="3C1D466B"/>
    <w:rsid w:val="3C1E41B5"/>
    <w:rsid w:val="3C2F4ACA"/>
    <w:rsid w:val="3C3245BA"/>
    <w:rsid w:val="3C333E8E"/>
    <w:rsid w:val="3C335C3C"/>
    <w:rsid w:val="3C371BD0"/>
    <w:rsid w:val="3C3C0F95"/>
    <w:rsid w:val="3C5502A8"/>
    <w:rsid w:val="3C5A766D"/>
    <w:rsid w:val="3C5C5193"/>
    <w:rsid w:val="3C5E715D"/>
    <w:rsid w:val="3C601127"/>
    <w:rsid w:val="3C6109FB"/>
    <w:rsid w:val="3C642299"/>
    <w:rsid w:val="3C6877D4"/>
    <w:rsid w:val="3C6978B0"/>
    <w:rsid w:val="3C6A2027"/>
    <w:rsid w:val="3C700C3E"/>
    <w:rsid w:val="3C7050E2"/>
    <w:rsid w:val="3C74072E"/>
    <w:rsid w:val="3C756255"/>
    <w:rsid w:val="3C77021F"/>
    <w:rsid w:val="3C7921E9"/>
    <w:rsid w:val="3C7A1396"/>
    <w:rsid w:val="3C7B7D0F"/>
    <w:rsid w:val="3C836BC3"/>
    <w:rsid w:val="3C8D359E"/>
    <w:rsid w:val="3C9C7C85"/>
    <w:rsid w:val="3C9D30EB"/>
    <w:rsid w:val="3CA3481C"/>
    <w:rsid w:val="3CA87E35"/>
    <w:rsid w:val="3CB60D47"/>
    <w:rsid w:val="3CB66F99"/>
    <w:rsid w:val="3CB925E5"/>
    <w:rsid w:val="3CB94473"/>
    <w:rsid w:val="3CC66AB0"/>
    <w:rsid w:val="3CC80A7A"/>
    <w:rsid w:val="3CCE4E2A"/>
    <w:rsid w:val="3CD236A7"/>
    <w:rsid w:val="3CD64F45"/>
    <w:rsid w:val="3CDC62D4"/>
    <w:rsid w:val="3CDE7DED"/>
    <w:rsid w:val="3CE04016"/>
    <w:rsid w:val="3CE05DC4"/>
    <w:rsid w:val="3CE84C78"/>
    <w:rsid w:val="3CED04E1"/>
    <w:rsid w:val="3CF11D7F"/>
    <w:rsid w:val="3CF25AF7"/>
    <w:rsid w:val="3CF61143"/>
    <w:rsid w:val="3D015D3A"/>
    <w:rsid w:val="3D0F0A97"/>
    <w:rsid w:val="3D0F66A9"/>
    <w:rsid w:val="3D125759"/>
    <w:rsid w:val="3D127D94"/>
    <w:rsid w:val="3D143CBF"/>
    <w:rsid w:val="3D1D0DC6"/>
    <w:rsid w:val="3D1E68EC"/>
    <w:rsid w:val="3D1F6592"/>
    <w:rsid w:val="3D2008B6"/>
    <w:rsid w:val="3D332398"/>
    <w:rsid w:val="3D3636F5"/>
    <w:rsid w:val="3D3879AE"/>
    <w:rsid w:val="3D3B124C"/>
    <w:rsid w:val="3D3B2FFA"/>
    <w:rsid w:val="3D3D3216"/>
    <w:rsid w:val="3D402D06"/>
    <w:rsid w:val="3D424389"/>
    <w:rsid w:val="3D491BBB"/>
    <w:rsid w:val="3D583BAC"/>
    <w:rsid w:val="3D5A3DC8"/>
    <w:rsid w:val="3D6F0EF6"/>
    <w:rsid w:val="3D714C6E"/>
    <w:rsid w:val="3D7B5AED"/>
    <w:rsid w:val="3D7D7AB7"/>
    <w:rsid w:val="3D7F382F"/>
    <w:rsid w:val="3D804EB1"/>
    <w:rsid w:val="3D8250CD"/>
    <w:rsid w:val="3D8449A1"/>
    <w:rsid w:val="3D932E36"/>
    <w:rsid w:val="3D9D5A63"/>
    <w:rsid w:val="3DA05553"/>
    <w:rsid w:val="3DA94408"/>
    <w:rsid w:val="3DAC5CA6"/>
    <w:rsid w:val="3DAE5D24"/>
    <w:rsid w:val="3DAE6DF6"/>
    <w:rsid w:val="3DBA6615"/>
    <w:rsid w:val="3DBC05DF"/>
    <w:rsid w:val="3DC41242"/>
    <w:rsid w:val="3DC47494"/>
    <w:rsid w:val="3DC92CFC"/>
    <w:rsid w:val="3DD11BB1"/>
    <w:rsid w:val="3DD1570D"/>
    <w:rsid w:val="3DD516A1"/>
    <w:rsid w:val="3DE55DF3"/>
    <w:rsid w:val="3DE6565C"/>
    <w:rsid w:val="3DE6740A"/>
    <w:rsid w:val="3DEA00EC"/>
    <w:rsid w:val="3DEE4511"/>
    <w:rsid w:val="3DF0583E"/>
    <w:rsid w:val="3DF15DAF"/>
    <w:rsid w:val="3DF657FC"/>
    <w:rsid w:val="3DFA5499"/>
    <w:rsid w:val="3E014244"/>
    <w:rsid w:val="3E077380"/>
    <w:rsid w:val="3E0951EE"/>
    <w:rsid w:val="3E09759C"/>
    <w:rsid w:val="3E0B50C2"/>
    <w:rsid w:val="3E0B6E71"/>
    <w:rsid w:val="3E0C27A2"/>
    <w:rsid w:val="3E135D25"/>
    <w:rsid w:val="3E1675C3"/>
    <w:rsid w:val="3E177BA9"/>
    <w:rsid w:val="3E18158D"/>
    <w:rsid w:val="3E182E93"/>
    <w:rsid w:val="3E1C0F46"/>
    <w:rsid w:val="3E1D0952"/>
    <w:rsid w:val="3E1D6BA4"/>
    <w:rsid w:val="3E1F291C"/>
    <w:rsid w:val="3E2361BD"/>
    <w:rsid w:val="3E241DF6"/>
    <w:rsid w:val="3E3068D7"/>
    <w:rsid w:val="3E3143FD"/>
    <w:rsid w:val="3E4203B8"/>
    <w:rsid w:val="3E444130"/>
    <w:rsid w:val="3E502AD5"/>
    <w:rsid w:val="3E524A9F"/>
    <w:rsid w:val="3E55547B"/>
    <w:rsid w:val="3E5A1BA6"/>
    <w:rsid w:val="3E673275"/>
    <w:rsid w:val="3E686071"/>
    <w:rsid w:val="3E697820"/>
    <w:rsid w:val="3E6D5400"/>
    <w:rsid w:val="3E6F38A3"/>
    <w:rsid w:val="3E7341AD"/>
    <w:rsid w:val="3E740EBA"/>
    <w:rsid w:val="3E775DB9"/>
    <w:rsid w:val="3E7836D7"/>
    <w:rsid w:val="3E7A5DA4"/>
    <w:rsid w:val="3E7F160D"/>
    <w:rsid w:val="3E8127AB"/>
    <w:rsid w:val="3E86299B"/>
    <w:rsid w:val="3E894239"/>
    <w:rsid w:val="3E8A46BF"/>
    <w:rsid w:val="3E8D3D29"/>
    <w:rsid w:val="3E974BA8"/>
    <w:rsid w:val="3E9926CE"/>
    <w:rsid w:val="3E99447C"/>
    <w:rsid w:val="3E9C5D1B"/>
    <w:rsid w:val="3E9E25C2"/>
    <w:rsid w:val="3EA177D5"/>
    <w:rsid w:val="3EA370A9"/>
    <w:rsid w:val="3EA6303D"/>
    <w:rsid w:val="3EAF6FAE"/>
    <w:rsid w:val="3EBE0387"/>
    <w:rsid w:val="3EC3599D"/>
    <w:rsid w:val="3EC55271"/>
    <w:rsid w:val="3ECA2888"/>
    <w:rsid w:val="3ECB6600"/>
    <w:rsid w:val="3ED26A8E"/>
    <w:rsid w:val="3ED74FA5"/>
    <w:rsid w:val="3EDA6843"/>
    <w:rsid w:val="3EDC7F63"/>
    <w:rsid w:val="3EE0326F"/>
    <w:rsid w:val="3EE3071E"/>
    <w:rsid w:val="3EE33949"/>
    <w:rsid w:val="3EE55913"/>
    <w:rsid w:val="3EE6168C"/>
    <w:rsid w:val="3EEA117C"/>
    <w:rsid w:val="3EEB0A50"/>
    <w:rsid w:val="3EED47C8"/>
    <w:rsid w:val="3EF01892"/>
    <w:rsid w:val="3EFB0C93"/>
    <w:rsid w:val="3EFC2C5D"/>
    <w:rsid w:val="3F0044FB"/>
    <w:rsid w:val="3F044E50"/>
    <w:rsid w:val="3F19380F"/>
    <w:rsid w:val="3F1E4982"/>
    <w:rsid w:val="3F23643C"/>
    <w:rsid w:val="3F253F62"/>
    <w:rsid w:val="3F2D12D4"/>
    <w:rsid w:val="3F2E5178"/>
    <w:rsid w:val="3F2F3423"/>
    <w:rsid w:val="3F3B3C09"/>
    <w:rsid w:val="3F3D71C8"/>
    <w:rsid w:val="3F3E3276"/>
    <w:rsid w:val="3F424B14"/>
    <w:rsid w:val="3F436657"/>
    <w:rsid w:val="3F4367FA"/>
    <w:rsid w:val="3F487C50"/>
    <w:rsid w:val="3F4940F4"/>
    <w:rsid w:val="3F4A5777"/>
    <w:rsid w:val="3F4F0FDF"/>
    <w:rsid w:val="3F582ED8"/>
    <w:rsid w:val="3F5B5BD6"/>
    <w:rsid w:val="3F5B5C60"/>
    <w:rsid w:val="3F634A8A"/>
    <w:rsid w:val="3F6902F3"/>
    <w:rsid w:val="3F6A2706"/>
    <w:rsid w:val="3F6C1B91"/>
    <w:rsid w:val="3F710F55"/>
    <w:rsid w:val="3F727F68"/>
    <w:rsid w:val="3F762A0F"/>
    <w:rsid w:val="3F7647BE"/>
    <w:rsid w:val="3F7B0026"/>
    <w:rsid w:val="3F7B6278"/>
    <w:rsid w:val="3F8008BC"/>
    <w:rsid w:val="3F80563C"/>
    <w:rsid w:val="3F8A0269"/>
    <w:rsid w:val="3F8B68E7"/>
    <w:rsid w:val="3F8E7D59"/>
    <w:rsid w:val="3F942E96"/>
    <w:rsid w:val="3F9904AC"/>
    <w:rsid w:val="3F9966FE"/>
    <w:rsid w:val="3F9B06C8"/>
    <w:rsid w:val="3FA27361"/>
    <w:rsid w:val="3FAC4683"/>
    <w:rsid w:val="3FAE03FB"/>
    <w:rsid w:val="3FAE21A9"/>
    <w:rsid w:val="3FBB6674"/>
    <w:rsid w:val="3FBD419A"/>
    <w:rsid w:val="3FC27A03"/>
    <w:rsid w:val="3FC441EF"/>
    <w:rsid w:val="3FCA4B09"/>
    <w:rsid w:val="3FCD6EB1"/>
    <w:rsid w:val="3FCE0156"/>
    <w:rsid w:val="3FD00372"/>
    <w:rsid w:val="3FD339BE"/>
    <w:rsid w:val="3FD55988"/>
    <w:rsid w:val="3FE0432D"/>
    <w:rsid w:val="3FE21E53"/>
    <w:rsid w:val="3FE77469"/>
    <w:rsid w:val="3FEB6F5A"/>
    <w:rsid w:val="3FEE25A6"/>
    <w:rsid w:val="3FEE6A4A"/>
    <w:rsid w:val="3FEF631E"/>
    <w:rsid w:val="3FF658FE"/>
    <w:rsid w:val="3FFC1167"/>
    <w:rsid w:val="3FFC5081"/>
    <w:rsid w:val="4000052B"/>
    <w:rsid w:val="40056133"/>
    <w:rsid w:val="40063D93"/>
    <w:rsid w:val="40070201"/>
    <w:rsid w:val="400B3158"/>
    <w:rsid w:val="400C0C7E"/>
    <w:rsid w:val="40183AC7"/>
    <w:rsid w:val="401A7974"/>
    <w:rsid w:val="401C5365"/>
    <w:rsid w:val="401D10DD"/>
    <w:rsid w:val="402661E4"/>
    <w:rsid w:val="40295CD4"/>
    <w:rsid w:val="402B37FA"/>
    <w:rsid w:val="402C12DE"/>
    <w:rsid w:val="40364EC3"/>
    <w:rsid w:val="40384169"/>
    <w:rsid w:val="40385F17"/>
    <w:rsid w:val="403A1C8F"/>
    <w:rsid w:val="403A57EB"/>
    <w:rsid w:val="404B79F8"/>
    <w:rsid w:val="405368AD"/>
    <w:rsid w:val="40556AC9"/>
    <w:rsid w:val="405745EF"/>
    <w:rsid w:val="40592742"/>
    <w:rsid w:val="406311E6"/>
    <w:rsid w:val="406665E0"/>
    <w:rsid w:val="406E1D1C"/>
    <w:rsid w:val="40703903"/>
    <w:rsid w:val="40704A37"/>
    <w:rsid w:val="407050F1"/>
    <w:rsid w:val="407451A1"/>
    <w:rsid w:val="407707ED"/>
    <w:rsid w:val="407E7DCE"/>
    <w:rsid w:val="40825072"/>
    <w:rsid w:val="40864ED4"/>
    <w:rsid w:val="408829FA"/>
    <w:rsid w:val="408E324B"/>
    <w:rsid w:val="409018AF"/>
    <w:rsid w:val="40952C78"/>
    <w:rsid w:val="40955117"/>
    <w:rsid w:val="40A435AC"/>
    <w:rsid w:val="40A86BF9"/>
    <w:rsid w:val="40A92971"/>
    <w:rsid w:val="40AA0F2D"/>
    <w:rsid w:val="40AF61D9"/>
    <w:rsid w:val="40B530C4"/>
    <w:rsid w:val="40B726C8"/>
    <w:rsid w:val="40B76E3C"/>
    <w:rsid w:val="40C1320D"/>
    <w:rsid w:val="40CC6049"/>
    <w:rsid w:val="40D14905"/>
    <w:rsid w:val="40D479EE"/>
    <w:rsid w:val="40D53766"/>
    <w:rsid w:val="40D7348E"/>
    <w:rsid w:val="40D93256"/>
    <w:rsid w:val="40E439A9"/>
    <w:rsid w:val="40E77DF5"/>
    <w:rsid w:val="40E8678B"/>
    <w:rsid w:val="40EF4827"/>
    <w:rsid w:val="40F0234E"/>
    <w:rsid w:val="40F40090"/>
    <w:rsid w:val="40F53889"/>
    <w:rsid w:val="40F81422"/>
    <w:rsid w:val="40FC5196"/>
    <w:rsid w:val="40FD49D1"/>
    <w:rsid w:val="41032081"/>
    <w:rsid w:val="410B7187"/>
    <w:rsid w:val="41172BC2"/>
    <w:rsid w:val="411918A4"/>
    <w:rsid w:val="411C3143"/>
    <w:rsid w:val="41214BFD"/>
    <w:rsid w:val="412546ED"/>
    <w:rsid w:val="41270465"/>
    <w:rsid w:val="412B29A8"/>
    <w:rsid w:val="41306BEE"/>
    <w:rsid w:val="41344930"/>
    <w:rsid w:val="41397816"/>
    <w:rsid w:val="413F350F"/>
    <w:rsid w:val="41412BA9"/>
    <w:rsid w:val="41432DC5"/>
    <w:rsid w:val="414601C0"/>
    <w:rsid w:val="414D154E"/>
    <w:rsid w:val="414F176A"/>
    <w:rsid w:val="415428DD"/>
    <w:rsid w:val="41586871"/>
    <w:rsid w:val="41594397"/>
    <w:rsid w:val="416D241D"/>
    <w:rsid w:val="416F7716"/>
    <w:rsid w:val="41724C5D"/>
    <w:rsid w:val="41727207"/>
    <w:rsid w:val="41795798"/>
    <w:rsid w:val="417D62D7"/>
    <w:rsid w:val="418331C2"/>
    <w:rsid w:val="418E2292"/>
    <w:rsid w:val="4191768D"/>
    <w:rsid w:val="419A55AA"/>
    <w:rsid w:val="419D0727"/>
    <w:rsid w:val="41A05B22"/>
    <w:rsid w:val="41AD023F"/>
    <w:rsid w:val="41BE1FD5"/>
    <w:rsid w:val="41C35C45"/>
    <w:rsid w:val="41C9151C"/>
    <w:rsid w:val="41D142CF"/>
    <w:rsid w:val="41D37CA5"/>
    <w:rsid w:val="41D41C6F"/>
    <w:rsid w:val="41E27A8D"/>
    <w:rsid w:val="41E40104"/>
    <w:rsid w:val="41F57644"/>
    <w:rsid w:val="41FD11C6"/>
    <w:rsid w:val="41FF4F3E"/>
    <w:rsid w:val="4203048B"/>
    <w:rsid w:val="420662CD"/>
    <w:rsid w:val="420909A2"/>
    <w:rsid w:val="420936C7"/>
    <w:rsid w:val="420E5181"/>
    <w:rsid w:val="420E6F2F"/>
    <w:rsid w:val="42156510"/>
    <w:rsid w:val="42181B5C"/>
    <w:rsid w:val="42186000"/>
    <w:rsid w:val="421A3B26"/>
    <w:rsid w:val="42206C63"/>
    <w:rsid w:val="42254279"/>
    <w:rsid w:val="422C1AAB"/>
    <w:rsid w:val="422C3859"/>
    <w:rsid w:val="422E137F"/>
    <w:rsid w:val="422F6EA6"/>
    <w:rsid w:val="423050F8"/>
    <w:rsid w:val="42310E70"/>
    <w:rsid w:val="42312C1E"/>
    <w:rsid w:val="423B3A9C"/>
    <w:rsid w:val="423C1CEE"/>
    <w:rsid w:val="424010B3"/>
    <w:rsid w:val="42417305"/>
    <w:rsid w:val="424D3EFC"/>
    <w:rsid w:val="42552DB0"/>
    <w:rsid w:val="425A03C6"/>
    <w:rsid w:val="425F59DD"/>
    <w:rsid w:val="42672AE3"/>
    <w:rsid w:val="427A2817"/>
    <w:rsid w:val="427C033D"/>
    <w:rsid w:val="427F607F"/>
    <w:rsid w:val="428617AE"/>
    <w:rsid w:val="42870A90"/>
    <w:rsid w:val="428B67D2"/>
    <w:rsid w:val="42997141"/>
    <w:rsid w:val="429D6505"/>
    <w:rsid w:val="42A11B51"/>
    <w:rsid w:val="42A258CA"/>
    <w:rsid w:val="42A41642"/>
    <w:rsid w:val="42A47894"/>
    <w:rsid w:val="42A653BA"/>
    <w:rsid w:val="42B17DA4"/>
    <w:rsid w:val="42B2321F"/>
    <w:rsid w:val="42B571D1"/>
    <w:rsid w:val="42BC4BDD"/>
    <w:rsid w:val="42BD2703"/>
    <w:rsid w:val="42C256EF"/>
    <w:rsid w:val="42C35F6C"/>
    <w:rsid w:val="42C41CE4"/>
    <w:rsid w:val="42C45840"/>
    <w:rsid w:val="42C83582"/>
    <w:rsid w:val="42CB6BCE"/>
    <w:rsid w:val="42CD2946"/>
    <w:rsid w:val="42CD43A0"/>
    <w:rsid w:val="42CD488F"/>
    <w:rsid w:val="42D27F5D"/>
    <w:rsid w:val="42D33CD5"/>
    <w:rsid w:val="42ED4D97"/>
    <w:rsid w:val="42F04887"/>
    <w:rsid w:val="42F36125"/>
    <w:rsid w:val="42FE6FA4"/>
    <w:rsid w:val="43014CE6"/>
    <w:rsid w:val="430622FC"/>
    <w:rsid w:val="430E6611"/>
    <w:rsid w:val="43175059"/>
    <w:rsid w:val="431762B8"/>
    <w:rsid w:val="431C567C"/>
    <w:rsid w:val="432509D4"/>
    <w:rsid w:val="4326474D"/>
    <w:rsid w:val="43284021"/>
    <w:rsid w:val="43370708"/>
    <w:rsid w:val="433C7ACC"/>
    <w:rsid w:val="434C41B3"/>
    <w:rsid w:val="434F5A51"/>
    <w:rsid w:val="43543B6A"/>
    <w:rsid w:val="43551275"/>
    <w:rsid w:val="43560B8E"/>
    <w:rsid w:val="43565357"/>
    <w:rsid w:val="4359067E"/>
    <w:rsid w:val="435B43F6"/>
    <w:rsid w:val="435E1759"/>
    <w:rsid w:val="435E7A42"/>
    <w:rsid w:val="43650DD1"/>
    <w:rsid w:val="43664B49"/>
    <w:rsid w:val="436A288B"/>
    <w:rsid w:val="43707776"/>
    <w:rsid w:val="437234EE"/>
    <w:rsid w:val="437454B8"/>
    <w:rsid w:val="43754D8C"/>
    <w:rsid w:val="43792ACE"/>
    <w:rsid w:val="437B18E6"/>
    <w:rsid w:val="437C436D"/>
    <w:rsid w:val="437C5E76"/>
    <w:rsid w:val="437E1E93"/>
    <w:rsid w:val="43854607"/>
    <w:rsid w:val="438A4CDB"/>
    <w:rsid w:val="43913B0C"/>
    <w:rsid w:val="43947908"/>
    <w:rsid w:val="439C056B"/>
    <w:rsid w:val="439E0787"/>
    <w:rsid w:val="439E2535"/>
    <w:rsid w:val="43A37B4B"/>
    <w:rsid w:val="43B104BA"/>
    <w:rsid w:val="43B65AD0"/>
    <w:rsid w:val="43BE4985"/>
    <w:rsid w:val="43BF0B98"/>
    <w:rsid w:val="43C71FC2"/>
    <w:rsid w:val="43D63A7D"/>
    <w:rsid w:val="43DD12AF"/>
    <w:rsid w:val="43E02B4D"/>
    <w:rsid w:val="43E25DB7"/>
    <w:rsid w:val="43E4263E"/>
    <w:rsid w:val="43E44844"/>
    <w:rsid w:val="43E50164"/>
    <w:rsid w:val="43E73EDC"/>
    <w:rsid w:val="43F059B8"/>
    <w:rsid w:val="43F65ECD"/>
    <w:rsid w:val="43FB2CD2"/>
    <w:rsid w:val="440A3726"/>
    <w:rsid w:val="44103433"/>
    <w:rsid w:val="4416031D"/>
    <w:rsid w:val="4416656F"/>
    <w:rsid w:val="441D78FE"/>
    <w:rsid w:val="44224F14"/>
    <w:rsid w:val="442742D8"/>
    <w:rsid w:val="442C2401"/>
    <w:rsid w:val="44330ECF"/>
    <w:rsid w:val="44354C47"/>
    <w:rsid w:val="443D3AFC"/>
    <w:rsid w:val="4440375E"/>
    <w:rsid w:val="444255B6"/>
    <w:rsid w:val="4443148D"/>
    <w:rsid w:val="4447497A"/>
    <w:rsid w:val="44495F79"/>
    <w:rsid w:val="44496945"/>
    <w:rsid w:val="444E3F5B"/>
    <w:rsid w:val="444E5D09"/>
    <w:rsid w:val="444F2455"/>
    <w:rsid w:val="44511355"/>
    <w:rsid w:val="445157F9"/>
    <w:rsid w:val="44550E45"/>
    <w:rsid w:val="445B21D4"/>
    <w:rsid w:val="445C7A96"/>
    <w:rsid w:val="44615A3C"/>
    <w:rsid w:val="446335AE"/>
    <w:rsid w:val="4466465B"/>
    <w:rsid w:val="44676DCB"/>
    <w:rsid w:val="4469040B"/>
    <w:rsid w:val="446E1F07"/>
    <w:rsid w:val="446F7A2D"/>
    <w:rsid w:val="4475773A"/>
    <w:rsid w:val="447C0AC8"/>
    <w:rsid w:val="447D039C"/>
    <w:rsid w:val="448B4867"/>
    <w:rsid w:val="448E07FB"/>
    <w:rsid w:val="44A27E03"/>
    <w:rsid w:val="44AE0556"/>
    <w:rsid w:val="44B6565C"/>
    <w:rsid w:val="44C304A5"/>
    <w:rsid w:val="44C45FCB"/>
    <w:rsid w:val="44C61D43"/>
    <w:rsid w:val="44CD30D2"/>
    <w:rsid w:val="44D04970"/>
    <w:rsid w:val="44D206E8"/>
    <w:rsid w:val="44D83825"/>
    <w:rsid w:val="44DD0E3B"/>
    <w:rsid w:val="44E02BDD"/>
    <w:rsid w:val="44E4666D"/>
    <w:rsid w:val="44EB17AA"/>
    <w:rsid w:val="44EB79FC"/>
    <w:rsid w:val="44EE3048"/>
    <w:rsid w:val="44F763A1"/>
    <w:rsid w:val="44FB5145"/>
    <w:rsid w:val="44FF34A7"/>
    <w:rsid w:val="45051327"/>
    <w:rsid w:val="450665E4"/>
    <w:rsid w:val="451742FA"/>
    <w:rsid w:val="45196317"/>
    <w:rsid w:val="451E56DB"/>
    <w:rsid w:val="45264590"/>
    <w:rsid w:val="4528655A"/>
    <w:rsid w:val="452A22D2"/>
    <w:rsid w:val="452B1BA6"/>
    <w:rsid w:val="452B604A"/>
    <w:rsid w:val="452F5B3A"/>
    <w:rsid w:val="45303661"/>
    <w:rsid w:val="45322F35"/>
    <w:rsid w:val="453B44DF"/>
    <w:rsid w:val="453C0257"/>
    <w:rsid w:val="45433394"/>
    <w:rsid w:val="45465D96"/>
    <w:rsid w:val="454964D0"/>
    <w:rsid w:val="454B3FF6"/>
    <w:rsid w:val="454D5FC1"/>
    <w:rsid w:val="4550785F"/>
    <w:rsid w:val="45594965"/>
    <w:rsid w:val="455B5D13"/>
    <w:rsid w:val="4561381A"/>
    <w:rsid w:val="45620765"/>
    <w:rsid w:val="456A6B72"/>
    <w:rsid w:val="456B28EB"/>
    <w:rsid w:val="457572C5"/>
    <w:rsid w:val="45764472"/>
    <w:rsid w:val="4577303D"/>
    <w:rsid w:val="4582793E"/>
    <w:rsid w:val="458319E2"/>
    <w:rsid w:val="4584225E"/>
    <w:rsid w:val="45861714"/>
    <w:rsid w:val="4588349D"/>
    <w:rsid w:val="458A0FC3"/>
    <w:rsid w:val="458A5C90"/>
    <w:rsid w:val="458B43E7"/>
    <w:rsid w:val="458F65D9"/>
    <w:rsid w:val="4597723C"/>
    <w:rsid w:val="45992FB4"/>
    <w:rsid w:val="45AA6F6F"/>
    <w:rsid w:val="45AC0F39"/>
    <w:rsid w:val="45AD4CB1"/>
    <w:rsid w:val="45B47DEE"/>
    <w:rsid w:val="45BF2B69"/>
    <w:rsid w:val="45C51FFB"/>
    <w:rsid w:val="45CA31E5"/>
    <w:rsid w:val="45CC5137"/>
    <w:rsid w:val="45CD7101"/>
    <w:rsid w:val="45D4223E"/>
    <w:rsid w:val="45E5269D"/>
    <w:rsid w:val="45EA380F"/>
    <w:rsid w:val="45EC3A2B"/>
    <w:rsid w:val="45EF7078"/>
    <w:rsid w:val="45F70E3F"/>
    <w:rsid w:val="45FE6141"/>
    <w:rsid w:val="460C5E7C"/>
    <w:rsid w:val="460C7C2A"/>
    <w:rsid w:val="460D74FE"/>
    <w:rsid w:val="460E1C7B"/>
    <w:rsid w:val="461C0FD3"/>
    <w:rsid w:val="4623010C"/>
    <w:rsid w:val="46244F73"/>
    <w:rsid w:val="462C207A"/>
    <w:rsid w:val="462C7B1B"/>
    <w:rsid w:val="462F3918"/>
    <w:rsid w:val="46364CA7"/>
    <w:rsid w:val="463D4287"/>
    <w:rsid w:val="4642364B"/>
    <w:rsid w:val="46476EB4"/>
    <w:rsid w:val="464E3D9E"/>
    <w:rsid w:val="465313B5"/>
    <w:rsid w:val="4654337F"/>
    <w:rsid w:val="465670F7"/>
    <w:rsid w:val="465D2233"/>
    <w:rsid w:val="4662093E"/>
    <w:rsid w:val="466E2692"/>
    <w:rsid w:val="467C4DAF"/>
    <w:rsid w:val="46841EB6"/>
    <w:rsid w:val="46873754"/>
    <w:rsid w:val="46973F40"/>
    <w:rsid w:val="469C5D82"/>
    <w:rsid w:val="469F45FA"/>
    <w:rsid w:val="46A77952"/>
    <w:rsid w:val="46B13338"/>
    <w:rsid w:val="46B17B91"/>
    <w:rsid w:val="46B856BC"/>
    <w:rsid w:val="46BB51AC"/>
    <w:rsid w:val="46C22917"/>
    <w:rsid w:val="46C24488"/>
    <w:rsid w:val="46C44060"/>
    <w:rsid w:val="46C73B51"/>
    <w:rsid w:val="46C93D6D"/>
    <w:rsid w:val="46C95B1B"/>
    <w:rsid w:val="46C978C9"/>
    <w:rsid w:val="46CC1167"/>
    <w:rsid w:val="46CC73B9"/>
    <w:rsid w:val="46D02A05"/>
    <w:rsid w:val="46D36999"/>
    <w:rsid w:val="46DF0E9A"/>
    <w:rsid w:val="46E110B6"/>
    <w:rsid w:val="46E22739"/>
    <w:rsid w:val="46E666CD"/>
    <w:rsid w:val="46EE37D3"/>
    <w:rsid w:val="46EE5581"/>
    <w:rsid w:val="46FA5CD4"/>
    <w:rsid w:val="46FC7C9E"/>
    <w:rsid w:val="4707219F"/>
    <w:rsid w:val="4712301E"/>
    <w:rsid w:val="47150D60"/>
    <w:rsid w:val="47174AD8"/>
    <w:rsid w:val="47190850"/>
    <w:rsid w:val="471A0124"/>
    <w:rsid w:val="471C5C4A"/>
    <w:rsid w:val="471E0180"/>
    <w:rsid w:val="47213261"/>
    <w:rsid w:val="47214171"/>
    <w:rsid w:val="472965B9"/>
    <w:rsid w:val="472A0F19"/>
    <w:rsid w:val="473016F6"/>
    <w:rsid w:val="47320639"/>
    <w:rsid w:val="473C62ED"/>
    <w:rsid w:val="47411B55"/>
    <w:rsid w:val="474433F3"/>
    <w:rsid w:val="47451645"/>
    <w:rsid w:val="474B4782"/>
    <w:rsid w:val="474D4056"/>
    <w:rsid w:val="47590C4D"/>
    <w:rsid w:val="475E2707"/>
    <w:rsid w:val="47617B01"/>
    <w:rsid w:val="47694C08"/>
    <w:rsid w:val="47777325"/>
    <w:rsid w:val="47857C94"/>
    <w:rsid w:val="478F0B12"/>
    <w:rsid w:val="478F466E"/>
    <w:rsid w:val="47953C4F"/>
    <w:rsid w:val="479B51D9"/>
    <w:rsid w:val="479E48B1"/>
    <w:rsid w:val="47A125F4"/>
    <w:rsid w:val="47A90442"/>
    <w:rsid w:val="47AB5220"/>
    <w:rsid w:val="47B02837"/>
    <w:rsid w:val="47B2035D"/>
    <w:rsid w:val="47B40579"/>
    <w:rsid w:val="47B61DE1"/>
    <w:rsid w:val="47B6609F"/>
    <w:rsid w:val="47B70069"/>
    <w:rsid w:val="47BA1BF2"/>
    <w:rsid w:val="47BE3144"/>
    <w:rsid w:val="47BE4F54"/>
    <w:rsid w:val="47C63E08"/>
    <w:rsid w:val="47CF53B3"/>
    <w:rsid w:val="47D227AD"/>
    <w:rsid w:val="47D26C51"/>
    <w:rsid w:val="47D604EF"/>
    <w:rsid w:val="47D95190"/>
    <w:rsid w:val="47EA7AF7"/>
    <w:rsid w:val="47F44E19"/>
    <w:rsid w:val="47F941DE"/>
    <w:rsid w:val="48013092"/>
    <w:rsid w:val="480212E4"/>
    <w:rsid w:val="48052B82"/>
    <w:rsid w:val="480F1EC9"/>
    <w:rsid w:val="48166B3E"/>
    <w:rsid w:val="481903DC"/>
    <w:rsid w:val="481E59F2"/>
    <w:rsid w:val="48223734"/>
    <w:rsid w:val="4825190C"/>
    <w:rsid w:val="48253225"/>
    <w:rsid w:val="48254FD3"/>
    <w:rsid w:val="48273523"/>
    <w:rsid w:val="482F7BFF"/>
    <w:rsid w:val="48380E77"/>
    <w:rsid w:val="48382F58"/>
    <w:rsid w:val="48390A7E"/>
    <w:rsid w:val="4839282C"/>
    <w:rsid w:val="483F4329"/>
    <w:rsid w:val="484D62D8"/>
    <w:rsid w:val="484E4529"/>
    <w:rsid w:val="485E04E5"/>
    <w:rsid w:val="485F6737"/>
    <w:rsid w:val="4861761A"/>
    <w:rsid w:val="48623B31"/>
    <w:rsid w:val="48651873"/>
    <w:rsid w:val="486755EB"/>
    <w:rsid w:val="486A0C38"/>
    <w:rsid w:val="486C2C02"/>
    <w:rsid w:val="487D096B"/>
    <w:rsid w:val="487F2935"/>
    <w:rsid w:val="48912668"/>
    <w:rsid w:val="48A56114"/>
    <w:rsid w:val="48A64365"/>
    <w:rsid w:val="48AC1250"/>
    <w:rsid w:val="48B84099"/>
    <w:rsid w:val="48BA59AE"/>
    <w:rsid w:val="48C83101"/>
    <w:rsid w:val="48CA7928"/>
    <w:rsid w:val="48DF1625"/>
    <w:rsid w:val="48DF33D4"/>
    <w:rsid w:val="48E64762"/>
    <w:rsid w:val="48EA3B26"/>
    <w:rsid w:val="48F0738F"/>
    <w:rsid w:val="4900334A"/>
    <w:rsid w:val="490270C2"/>
    <w:rsid w:val="4904108C"/>
    <w:rsid w:val="49060960"/>
    <w:rsid w:val="490A38A3"/>
    <w:rsid w:val="491017DF"/>
    <w:rsid w:val="49156DF5"/>
    <w:rsid w:val="49170DBF"/>
    <w:rsid w:val="49172B6D"/>
    <w:rsid w:val="491C0184"/>
    <w:rsid w:val="491F7C74"/>
    <w:rsid w:val="492257A0"/>
    <w:rsid w:val="492359B6"/>
    <w:rsid w:val="49267254"/>
    <w:rsid w:val="49351245"/>
    <w:rsid w:val="49492F43"/>
    <w:rsid w:val="49496A9F"/>
    <w:rsid w:val="494B2817"/>
    <w:rsid w:val="494B4C51"/>
    <w:rsid w:val="49521DF7"/>
    <w:rsid w:val="49535B70"/>
    <w:rsid w:val="49575660"/>
    <w:rsid w:val="495A5150"/>
    <w:rsid w:val="495F4514"/>
    <w:rsid w:val="496A1705"/>
    <w:rsid w:val="496B110B"/>
    <w:rsid w:val="497376D1"/>
    <w:rsid w:val="49757894"/>
    <w:rsid w:val="49786131"/>
    <w:rsid w:val="498126DD"/>
    <w:rsid w:val="49843F7B"/>
    <w:rsid w:val="498521CD"/>
    <w:rsid w:val="49861AA1"/>
    <w:rsid w:val="498875C7"/>
    <w:rsid w:val="498F4DFA"/>
    <w:rsid w:val="49923306"/>
    <w:rsid w:val="49926698"/>
    <w:rsid w:val="49957F36"/>
    <w:rsid w:val="49973CAE"/>
    <w:rsid w:val="499C12C5"/>
    <w:rsid w:val="499C3073"/>
    <w:rsid w:val="499E503D"/>
    <w:rsid w:val="499E6DEB"/>
    <w:rsid w:val="49A563CB"/>
    <w:rsid w:val="49A62143"/>
    <w:rsid w:val="49A87C69"/>
    <w:rsid w:val="49A95790"/>
    <w:rsid w:val="49AB1508"/>
    <w:rsid w:val="49B21896"/>
    <w:rsid w:val="49B64278"/>
    <w:rsid w:val="49BA174B"/>
    <w:rsid w:val="49BC1967"/>
    <w:rsid w:val="49CD5922"/>
    <w:rsid w:val="49D15412"/>
    <w:rsid w:val="49D547D7"/>
    <w:rsid w:val="49D62A28"/>
    <w:rsid w:val="49D830CE"/>
    <w:rsid w:val="49D83174"/>
    <w:rsid w:val="49D942C7"/>
    <w:rsid w:val="49E07403"/>
    <w:rsid w:val="49E60792"/>
    <w:rsid w:val="49EA0282"/>
    <w:rsid w:val="49EC224C"/>
    <w:rsid w:val="49F11610"/>
    <w:rsid w:val="49F31D96"/>
    <w:rsid w:val="4A0330F2"/>
    <w:rsid w:val="4A043D0F"/>
    <w:rsid w:val="4A0D3F70"/>
    <w:rsid w:val="4A0F1A96"/>
    <w:rsid w:val="4A1D1CE5"/>
    <w:rsid w:val="4A207C13"/>
    <w:rsid w:val="4A232BBC"/>
    <w:rsid w:val="4A2E3F41"/>
    <w:rsid w:val="4A3239D7"/>
    <w:rsid w:val="4A372D9B"/>
    <w:rsid w:val="4A392FB7"/>
    <w:rsid w:val="4A394D65"/>
    <w:rsid w:val="4A396B13"/>
    <w:rsid w:val="4A3E7B1E"/>
    <w:rsid w:val="4A474F52"/>
    <w:rsid w:val="4A4756D4"/>
    <w:rsid w:val="4A4826DB"/>
    <w:rsid w:val="4A4831FA"/>
    <w:rsid w:val="4A4A6F73"/>
    <w:rsid w:val="4A513E5D"/>
    <w:rsid w:val="4A517BB2"/>
    <w:rsid w:val="4A543050"/>
    <w:rsid w:val="4A5B1180"/>
    <w:rsid w:val="4A5B4CDC"/>
    <w:rsid w:val="4A6E0EB3"/>
    <w:rsid w:val="4A6F4C2B"/>
    <w:rsid w:val="4A7144FF"/>
    <w:rsid w:val="4A7B537E"/>
    <w:rsid w:val="4A7D10F6"/>
    <w:rsid w:val="4A7D4C52"/>
    <w:rsid w:val="4A835FE1"/>
    <w:rsid w:val="4A881849"/>
    <w:rsid w:val="4A8A736F"/>
    <w:rsid w:val="4A8B26DA"/>
    <w:rsid w:val="4A8C1339"/>
    <w:rsid w:val="4A8E76E6"/>
    <w:rsid w:val="4A8F0E29"/>
    <w:rsid w:val="4A8F4985"/>
    <w:rsid w:val="4A910A80"/>
    <w:rsid w:val="4A9401EE"/>
    <w:rsid w:val="4A985F30"/>
    <w:rsid w:val="4A9D70A2"/>
    <w:rsid w:val="4AA246B9"/>
    <w:rsid w:val="4AA743C5"/>
    <w:rsid w:val="4AA91EEB"/>
    <w:rsid w:val="4AAE7501"/>
    <w:rsid w:val="4AAF6DD6"/>
    <w:rsid w:val="4AB83EDC"/>
    <w:rsid w:val="4ABB1C1E"/>
    <w:rsid w:val="4ABE526B"/>
    <w:rsid w:val="4AC24E95"/>
    <w:rsid w:val="4AC95B96"/>
    <w:rsid w:val="4ACB00B3"/>
    <w:rsid w:val="4ACC7988"/>
    <w:rsid w:val="4AD36F68"/>
    <w:rsid w:val="4ADD3943"/>
    <w:rsid w:val="4ADF3B5F"/>
    <w:rsid w:val="4ADF5E03"/>
    <w:rsid w:val="4AE178D7"/>
    <w:rsid w:val="4AE66459"/>
    <w:rsid w:val="4AE66C9B"/>
    <w:rsid w:val="4AEA6060"/>
    <w:rsid w:val="4AEC002A"/>
    <w:rsid w:val="4AEC627C"/>
    <w:rsid w:val="4AEE3DA2"/>
    <w:rsid w:val="4AF313B8"/>
    <w:rsid w:val="4AF55130"/>
    <w:rsid w:val="4AFA733C"/>
    <w:rsid w:val="4AFD5D93"/>
    <w:rsid w:val="4B005883"/>
    <w:rsid w:val="4B007631"/>
    <w:rsid w:val="4B013AD5"/>
    <w:rsid w:val="4B0233A9"/>
    <w:rsid w:val="4B06733D"/>
    <w:rsid w:val="4B0E0603"/>
    <w:rsid w:val="4B125CE2"/>
    <w:rsid w:val="4B127515"/>
    <w:rsid w:val="4B137364"/>
    <w:rsid w:val="4B1650A7"/>
    <w:rsid w:val="4B1F3C01"/>
    <w:rsid w:val="4B245A16"/>
    <w:rsid w:val="4B257098"/>
    <w:rsid w:val="4B2652EA"/>
    <w:rsid w:val="4B2E0642"/>
    <w:rsid w:val="4B2F0C78"/>
    <w:rsid w:val="4B3043BA"/>
    <w:rsid w:val="4B3814C1"/>
    <w:rsid w:val="4B3C3FFA"/>
    <w:rsid w:val="4B3F7FAC"/>
    <w:rsid w:val="4B410375"/>
    <w:rsid w:val="4B436A33"/>
    <w:rsid w:val="4B4570DA"/>
    <w:rsid w:val="4B46773A"/>
    <w:rsid w:val="4B481704"/>
    <w:rsid w:val="4B4B4D50"/>
    <w:rsid w:val="4B4D6D1A"/>
    <w:rsid w:val="4B5C51AF"/>
    <w:rsid w:val="4B5F07FC"/>
    <w:rsid w:val="4B6537B6"/>
    <w:rsid w:val="4B6B71A0"/>
    <w:rsid w:val="4B6C4CC7"/>
    <w:rsid w:val="4B7122DD"/>
    <w:rsid w:val="4B726781"/>
    <w:rsid w:val="4B736055"/>
    <w:rsid w:val="4B845E03"/>
    <w:rsid w:val="4B871B00"/>
    <w:rsid w:val="4B895879"/>
    <w:rsid w:val="4B8B15F1"/>
    <w:rsid w:val="4B9009B5"/>
    <w:rsid w:val="4B952E6B"/>
    <w:rsid w:val="4B983D0E"/>
    <w:rsid w:val="4B985ABC"/>
    <w:rsid w:val="4B9C55AC"/>
    <w:rsid w:val="4B9F509C"/>
    <w:rsid w:val="4BA17066"/>
    <w:rsid w:val="4BA4219B"/>
    <w:rsid w:val="4BA91A77"/>
    <w:rsid w:val="4BB02E05"/>
    <w:rsid w:val="4BB26B7D"/>
    <w:rsid w:val="4BB46D99"/>
    <w:rsid w:val="4BB548C0"/>
    <w:rsid w:val="4BB70638"/>
    <w:rsid w:val="4BBD5522"/>
    <w:rsid w:val="4BBF74EC"/>
    <w:rsid w:val="4BC012FC"/>
    <w:rsid w:val="4BC52D55"/>
    <w:rsid w:val="4BCB40E3"/>
    <w:rsid w:val="4BCF3BD3"/>
    <w:rsid w:val="4BD27220"/>
    <w:rsid w:val="4BDC009E"/>
    <w:rsid w:val="4BE40D01"/>
    <w:rsid w:val="4BE64A79"/>
    <w:rsid w:val="4BF947AC"/>
    <w:rsid w:val="4C003613"/>
    <w:rsid w:val="4C003D8D"/>
    <w:rsid w:val="4C0A4C0B"/>
    <w:rsid w:val="4C0D2006"/>
    <w:rsid w:val="4C0F3FD0"/>
    <w:rsid w:val="4C124959"/>
    <w:rsid w:val="4C145A2A"/>
    <w:rsid w:val="4C147838"/>
    <w:rsid w:val="4C15710C"/>
    <w:rsid w:val="4C1710D6"/>
    <w:rsid w:val="4C1C493F"/>
    <w:rsid w:val="4C1E06B7"/>
    <w:rsid w:val="4C207F8B"/>
    <w:rsid w:val="4C215AB1"/>
    <w:rsid w:val="4C2C2DD4"/>
    <w:rsid w:val="4C341C88"/>
    <w:rsid w:val="4C350CC1"/>
    <w:rsid w:val="4C3677AE"/>
    <w:rsid w:val="4C3E2B07"/>
    <w:rsid w:val="4C433C79"/>
    <w:rsid w:val="4C435E69"/>
    <w:rsid w:val="4C485734"/>
    <w:rsid w:val="4C4F261E"/>
    <w:rsid w:val="4C5E7864"/>
    <w:rsid w:val="4C5F15EC"/>
    <w:rsid w:val="4C6264DF"/>
    <w:rsid w:val="4C72455F"/>
    <w:rsid w:val="4C7402D7"/>
    <w:rsid w:val="4C787DC7"/>
    <w:rsid w:val="4C7E7F84"/>
    <w:rsid w:val="4C804ECE"/>
    <w:rsid w:val="4C8A5D4C"/>
    <w:rsid w:val="4C8C3872"/>
    <w:rsid w:val="4C8C5B1C"/>
    <w:rsid w:val="4C8D1398"/>
    <w:rsid w:val="4C96649F"/>
    <w:rsid w:val="4C983FC5"/>
    <w:rsid w:val="4CA02E7A"/>
    <w:rsid w:val="4CA23096"/>
    <w:rsid w:val="4CAF130F"/>
    <w:rsid w:val="4CB15087"/>
    <w:rsid w:val="4CB608EF"/>
    <w:rsid w:val="4CB72F1B"/>
    <w:rsid w:val="4CB73599"/>
    <w:rsid w:val="4CBD7ED0"/>
    <w:rsid w:val="4CC254E6"/>
    <w:rsid w:val="4CD36B70"/>
    <w:rsid w:val="4CD805F1"/>
    <w:rsid w:val="4CD87FF8"/>
    <w:rsid w:val="4CDD5E7C"/>
    <w:rsid w:val="4CE141D8"/>
    <w:rsid w:val="4CE54D31"/>
    <w:rsid w:val="4CE83F67"/>
    <w:rsid w:val="4CEE0089"/>
    <w:rsid w:val="4CF431C6"/>
    <w:rsid w:val="4CF51418"/>
    <w:rsid w:val="4CFB09F8"/>
    <w:rsid w:val="4D0151AE"/>
    <w:rsid w:val="4D0478AD"/>
    <w:rsid w:val="4D057181"/>
    <w:rsid w:val="4D0C69C4"/>
    <w:rsid w:val="4D16313C"/>
    <w:rsid w:val="4D185106"/>
    <w:rsid w:val="4D1F0243"/>
    <w:rsid w:val="4D203FBB"/>
    <w:rsid w:val="4D21045F"/>
    <w:rsid w:val="4D241CFD"/>
    <w:rsid w:val="4D27359B"/>
    <w:rsid w:val="4D317F76"/>
    <w:rsid w:val="4D3A50CF"/>
    <w:rsid w:val="4D3C7046"/>
    <w:rsid w:val="4D447CA9"/>
    <w:rsid w:val="4D4D1254"/>
    <w:rsid w:val="4D50664E"/>
    <w:rsid w:val="4D5819A6"/>
    <w:rsid w:val="4D583754"/>
    <w:rsid w:val="4D5F0F87"/>
    <w:rsid w:val="4D6245D3"/>
    <w:rsid w:val="4D64659D"/>
    <w:rsid w:val="4D704F42"/>
    <w:rsid w:val="4D782049"/>
    <w:rsid w:val="4D7A36CB"/>
    <w:rsid w:val="4D812E59"/>
    <w:rsid w:val="4D8359A3"/>
    <w:rsid w:val="4D844549"/>
    <w:rsid w:val="4D8E361A"/>
    <w:rsid w:val="4D924EB8"/>
    <w:rsid w:val="4D926C66"/>
    <w:rsid w:val="4D950505"/>
    <w:rsid w:val="4D981DA3"/>
    <w:rsid w:val="4D986247"/>
    <w:rsid w:val="4D9A3D6D"/>
    <w:rsid w:val="4D9A5B1B"/>
    <w:rsid w:val="4D9C1893"/>
    <w:rsid w:val="4DA8648A"/>
    <w:rsid w:val="4DB0533F"/>
    <w:rsid w:val="4DB74893"/>
    <w:rsid w:val="4DC25072"/>
    <w:rsid w:val="4DD728CB"/>
    <w:rsid w:val="4DD92AE7"/>
    <w:rsid w:val="4DDC5A53"/>
    <w:rsid w:val="4DE44FE8"/>
    <w:rsid w:val="4DE66FB2"/>
    <w:rsid w:val="4DE90B47"/>
    <w:rsid w:val="4DED0341"/>
    <w:rsid w:val="4DF06090"/>
    <w:rsid w:val="4DF23BA9"/>
    <w:rsid w:val="4DF55447"/>
    <w:rsid w:val="4DFC56E3"/>
    <w:rsid w:val="4DFF1E22"/>
    <w:rsid w:val="4E0D0424"/>
    <w:rsid w:val="4E0F6509"/>
    <w:rsid w:val="4E143B1F"/>
    <w:rsid w:val="4E17716C"/>
    <w:rsid w:val="4E1C29D4"/>
    <w:rsid w:val="4E231FB4"/>
    <w:rsid w:val="4E28581D"/>
    <w:rsid w:val="4E2E56F4"/>
    <w:rsid w:val="4E30647F"/>
    <w:rsid w:val="4E347D1E"/>
    <w:rsid w:val="4E3B5550"/>
    <w:rsid w:val="4E467A51"/>
    <w:rsid w:val="4E4F2DA9"/>
    <w:rsid w:val="4E606D65"/>
    <w:rsid w:val="4E61488B"/>
    <w:rsid w:val="4E636855"/>
    <w:rsid w:val="4E6F3B1A"/>
    <w:rsid w:val="4E726A98"/>
    <w:rsid w:val="4E80426E"/>
    <w:rsid w:val="4E834801"/>
    <w:rsid w:val="4E86609F"/>
    <w:rsid w:val="4E870795"/>
    <w:rsid w:val="4E881E17"/>
    <w:rsid w:val="4E944C60"/>
    <w:rsid w:val="4E95722F"/>
    <w:rsid w:val="4E9702AC"/>
    <w:rsid w:val="4E992277"/>
    <w:rsid w:val="4E9B5FEF"/>
    <w:rsid w:val="4E9C3B15"/>
    <w:rsid w:val="4E9E5ADF"/>
    <w:rsid w:val="4EA03605"/>
    <w:rsid w:val="4EA91178"/>
    <w:rsid w:val="4EAC1FAA"/>
    <w:rsid w:val="4EAF55F6"/>
    <w:rsid w:val="4EC015B1"/>
    <w:rsid w:val="4EC866B8"/>
    <w:rsid w:val="4ECC5BEA"/>
    <w:rsid w:val="4ED84B4D"/>
    <w:rsid w:val="4EE40832"/>
    <w:rsid w:val="4EE72FE2"/>
    <w:rsid w:val="4EEC23A6"/>
    <w:rsid w:val="4EED4604"/>
    <w:rsid w:val="4EF86F9D"/>
    <w:rsid w:val="4EFD45B3"/>
    <w:rsid w:val="4EFE032C"/>
    <w:rsid w:val="4F0516BA"/>
    <w:rsid w:val="4F053468"/>
    <w:rsid w:val="4F075432"/>
    <w:rsid w:val="4F0771E0"/>
    <w:rsid w:val="4F084FD9"/>
    <w:rsid w:val="4F0B3174"/>
    <w:rsid w:val="4F0B3CA6"/>
    <w:rsid w:val="4F1338C8"/>
    <w:rsid w:val="4F1638C7"/>
    <w:rsid w:val="4F18763F"/>
    <w:rsid w:val="4F1D4C56"/>
    <w:rsid w:val="4F231B40"/>
    <w:rsid w:val="4F251D5C"/>
    <w:rsid w:val="4F253B0A"/>
    <w:rsid w:val="4F275AD4"/>
    <w:rsid w:val="4F343D4D"/>
    <w:rsid w:val="4F3501F1"/>
    <w:rsid w:val="4F3D2C02"/>
    <w:rsid w:val="4F3F4BCC"/>
    <w:rsid w:val="4F3F6884"/>
    <w:rsid w:val="4F400009"/>
    <w:rsid w:val="4F457D08"/>
    <w:rsid w:val="4F5543EF"/>
    <w:rsid w:val="4F560168"/>
    <w:rsid w:val="4F5F0DCA"/>
    <w:rsid w:val="4F6B7A5F"/>
    <w:rsid w:val="4F6F4D85"/>
    <w:rsid w:val="4F7232FE"/>
    <w:rsid w:val="4F7A31B0"/>
    <w:rsid w:val="4F8C5937"/>
    <w:rsid w:val="4F90367A"/>
    <w:rsid w:val="4F934612"/>
    <w:rsid w:val="4F9F38BD"/>
    <w:rsid w:val="4FA72771"/>
    <w:rsid w:val="4FA90297"/>
    <w:rsid w:val="4FAD5FDA"/>
    <w:rsid w:val="4FB56C3C"/>
    <w:rsid w:val="4FBB7FCB"/>
    <w:rsid w:val="4FBE28EB"/>
    <w:rsid w:val="4FC155E1"/>
    <w:rsid w:val="4FD10BFA"/>
    <w:rsid w:val="4FD45E36"/>
    <w:rsid w:val="4FD572DE"/>
    <w:rsid w:val="4FD95020"/>
    <w:rsid w:val="4FDA48F5"/>
    <w:rsid w:val="4FE237A9"/>
    <w:rsid w:val="4FE63299"/>
    <w:rsid w:val="4FE90FDC"/>
    <w:rsid w:val="4FE94B38"/>
    <w:rsid w:val="4FEB6B02"/>
    <w:rsid w:val="4FF43C08"/>
    <w:rsid w:val="4FFE4A87"/>
    <w:rsid w:val="4FFF6109"/>
    <w:rsid w:val="5006393C"/>
    <w:rsid w:val="500D4CCA"/>
    <w:rsid w:val="5010374F"/>
    <w:rsid w:val="50153434"/>
    <w:rsid w:val="501716A5"/>
    <w:rsid w:val="5019366F"/>
    <w:rsid w:val="501E6ED7"/>
    <w:rsid w:val="5023004A"/>
    <w:rsid w:val="502B33A2"/>
    <w:rsid w:val="502B6EFE"/>
    <w:rsid w:val="503264DF"/>
    <w:rsid w:val="50377F99"/>
    <w:rsid w:val="503E6C32"/>
    <w:rsid w:val="50410FC1"/>
    <w:rsid w:val="50436C4F"/>
    <w:rsid w:val="50463D38"/>
    <w:rsid w:val="50483F54"/>
    <w:rsid w:val="50487AB0"/>
    <w:rsid w:val="504B469E"/>
    <w:rsid w:val="505428F9"/>
    <w:rsid w:val="5059663C"/>
    <w:rsid w:val="506B7C43"/>
    <w:rsid w:val="507765E7"/>
    <w:rsid w:val="507B7E86"/>
    <w:rsid w:val="507E7976"/>
    <w:rsid w:val="508036EE"/>
    <w:rsid w:val="50830AE8"/>
    <w:rsid w:val="50852AB2"/>
    <w:rsid w:val="508A1E77"/>
    <w:rsid w:val="508B3E41"/>
    <w:rsid w:val="509176A9"/>
    <w:rsid w:val="50926F7D"/>
    <w:rsid w:val="50942CF5"/>
    <w:rsid w:val="50974594"/>
    <w:rsid w:val="509B0528"/>
    <w:rsid w:val="509B0549"/>
    <w:rsid w:val="509C604E"/>
    <w:rsid w:val="509C7DFC"/>
    <w:rsid w:val="50A7376B"/>
    <w:rsid w:val="50AB003F"/>
    <w:rsid w:val="50AF18DD"/>
    <w:rsid w:val="50B52C6C"/>
    <w:rsid w:val="50BD049E"/>
    <w:rsid w:val="50BD1CE8"/>
    <w:rsid w:val="50C11611"/>
    <w:rsid w:val="50C85080"/>
    <w:rsid w:val="50C86E43"/>
    <w:rsid w:val="50DB6B76"/>
    <w:rsid w:val="50DE6667"/>
    <w:rsid w:val="50E517A3"/>
    <w:rsid w:val="50ED2406"/>
    <w:rsid w:val="50EF617E"/>
    <w:rsid w:val="50F47C38"/>
    <w:rsid w:val="50F57C05"/>
    <w:rsid w:val="50F87728"/>
    <w:rsid w:val="50FA6B29"/>
    <w:rsid w:val="51022355"/>
    <w:rsid w:val="510F6820"/>
    <w:rsid w:val="51145BE4"/>
    <w:rsid w:val="511931FB"/>
    <w:rsid w:val="511B3417"/>
    <w:rsid w:val="511D0F3D"/>
    <w:rsid w:val="511E6A63"/>
    <w:rsid w:val="51220301"/>
    <w:rsid w:val="51274842"/>
    <w:rsid w:val="51287B56"/>
    <w:rsid w:val="512978E2"/>
    <w:rsid w:val="512C2F2E"/>
    <w:rsid w:val="513103CE"/>
    <w:rsid w:val="51340035"/>
    <w:rsid w:val="51366528"/>
    <w:rsid w:val="513C5834"/>
    <w:rsid w:val="513E4F39"/>
    <w:rsid w:val="51453FF0"/>
    <w:rsid w:val="51491D32"/>
    <w:rsid w:val="51501312"/>
    <w:rsid w:val="5151508A"/>
    <w:rsid w:val="51516E38"/>
    <w:rsid w:val="51522300"/>
    <w:rsid w:val="5156444F"/>
    <w:rsid w:val="515A3F3F"/>
    <w:rsid w:val="515E50B1"/>
    <w:rsid w:val="515F1555"/>
    <w:rsid w:val="51637D72"/>
    <w:rsid w:val="516415A6"/>
    <w:rsid w:val="516C5A20"/>
    <w:rsid w:val="516D2359"/>
    <w:rsid w:val="51730B5D"/>
    <w:rsid w:val="51791EEB"/>
    <w:rsid w:val="517F5754"/>
    <w:rsid w:val="5180327A"/>
    <w:rsid w:val="51856AE2"/>
    <w:rsid w:val="51870AAC"/>
    <w:rsid w:val="51874608"/>
    <w:rsid w:val="51883CC7"/>
    <w:rsid w:val="51894824"/>
    <w:rsid w:val="518A5EA7"/>
    <w:rsid w:val="518F170F"/>
    <w:rsid w:val="519136D9"/>
    <w:rsid w:val="51981FF4"/>
    <w:rsid w:val="51A27694"/>
    <w:rsid w:val="51A90CF0"/>
    <w:rsid w:val="51AC22C1"/>
    <w:rsid w:val="51B01DB1"/>
    <w:rsid w:val="51B15B29"/>
    <w:rsid w:val="51B80C66"/>
    <w:rsid w:val="51B82A14"/>
    <w:rsid w:val="51BA2C30"/>
    <w:rsid w:val="51C4760A"/>
    <w:rsid w:val="51CD2963"/>
    <w:rsid w:val="51CE0489"/>
    <w:rsid w:val="51CF6F9D"/>
    <w:rsid w:val="51D04201"/>
    <w:rsid w:val="51D158AF"/>
    <w:rsid w:val="51D35A9F"/>
    <w:rsid w:val="51D830B6"/>
    <w:rsid w:val="51E11F6A"/>
    <w:rsid w:val="51E43809"/>
    <w:rsid w:val="51E63A25"/>
    <w:rsid w:val="51EE28D9"/>
    <w:rsid w:val="51EE4687"/>
    <w:rsid w:val="51F16F1B"/>
    <w:rsid w:val="51F577C4"/>
    <w:rsid w:val="51FD2B1C"/>
    <w:rsid w:val="51FE5F62"/>
    <w:rsid w:val="520143BB"/>
    <w:rsid w:val="52027454"/>
    <w:rsid w:val="52081BED"/>
    <w:rsid w:val="520D7203"/>
    <w:rsid w:val="5217598C"/>
    <w:rsid w:val="52183301"/>
    <w:rsid w:val="521A36CE"/>
    <w:rsid w:val="52306A4E"/>
    <w:rsid w:val="52354064"/>
    <w:rsid w:val="52377DDC"/>
    <w:rsid w:val="524644C3"/>
    <w:rsid w:val="524A3FB4"/>
    <w:rsid w:val="524B1ADA"/>
    <w:rsid w:val="524D7600"/>
    <w:rsid w:val="524E5126"/>
    <w:rsid w:val="524F15CA"/>
    <w:rsid w:val="52505342"/>
    <w:rsid w:val="525070F0"/>
    <w:rsid w:val="5253273C"/>
    <w:rsid w:val="52565932"/>
    <w:rsid w:val="5257047F"/>
    <w:rsid w:val="525F10E1"/>
    <w:rsid w:val="526B3F2A"/>
    <w:rsid w:val="52751833"/>
    <w:rsid w:val="527E5A0B"/>
    <w:rsid w:val="5282655C"/>
    <w:rsid w:val="528374C6"/>
    <w:rsid w:val="528C45CC"/>
    <w:rsid w:val="52923265"/>
    <w:rsid w:val="52927709"/>
    <w:rsid w:val="529713FE"/>
    <w:rsid w:val="52976ACD"/>
    <w:rsid w:val="529A036B"/>
    <w:rsid w:val="52A336C4"/>
    <w:rsid w:val="52AD009F"/>
    <w:rsid w:val="52AF2069"/>
    <w:rsid w:val="52B21B59"/>
    <w:rsid w:val="52B70F1D"/>
    <w:rsid w:val="52B84167"/>
    <w:rsid w:val="52BC6534"/>
    <w:rsid w:val="52BF457A"/>
    <w:rsid w:val="52C61160"/>
    <w:rsid w:val="52C75604"/>
    <w:rsid w:val="52C8312A"/>
    <w:rsid w:val="52CC0A7E"/>
    <w:rsid w:val="52D01FDF"/>
    <w:rsid w:val="52D3730D"/>
    <w:rsid w:val="52E02222"/>
    <w:rsid w:val="52E37F64"/>
    <w:rsid w:val="52EB0BC7"/>
    <w:rsid w:val="52EC506B"/>
    <w:rsid w:val="52ED2B91"/>
    <w:rsid w:val="52EF06B7"/>
    <w:rsid w:val="52F04928"/>
    <w:rsid w:val="52F201A7"/>
    <w:rsid w:val="52F263F9"/>
    <w:rsid w:val="52F65EE9"/>
    <w:rsid w:val="52F757BE"/>
    <w:rsid w:val="52FC4B82"/>
    <w:rsid w:val="52FD1026"/>
    <w:rsid w:val="53000B16"/>
    <w:rsid w:val="5302488E"/>
    <w:rsid w:val="53065A01"/>
    <w:rsid w:val="530C6B38"/>
    <w:rsid w:val="53114AD1"/>
    <w:rsid w:val="531719BC"/>
    <w:rsid w:val="5319686F"/>
    <w:rsid w:val="531A29C5"/>
    <w:rsid w:val="531D3476"/>
    <w:rsid w:val="5320450E"/>
    <w:rsid w:val="53246E2A"/>
    <w:rsid w:val="532A5B93"/>
    <w:rsid w:val="532C36B9"/>
    <w:rsid w:val="532E1C4F"/>
    <w:rsid w:val="532F6EE0"/>
    <w:rsid w:val="53335004"/>
    <w:rsid w:val="53346A12"/>
    <w:rsid w:val="533E519B"/>
    <w:rsid w:val="53400F13"/>
    <w:rsid w:val="534053B7"/>
    <w:rsid w:val="53426A39"/>
    <w:rsid w:val="534D53DE"/>
    <w:rsid w:val="53530C46"/>
    <w:rsid w:val="53542C10"/>
    <w:rsid w:val="535449BE"/>
    <w:rsid w:val="535B7AFB"/>
    <w:rsid w:val="535E583D"/>
    <w:rsid w:val="535F3A8F"/>
    <w:rsid w:val="5367649F"/>
    <w:rsid w:val="536966BB"/>
    <w:rsid w:val="536C7F5A"/>
    <w:rsid w:val="53710516"/>
    <w:rsid w:val="53723CD6"/>
    <w:rsid w:val="53784B50"/>
    <w:rsid w:val="537D5CC3"/>
    <w:rsid w:val="538434F5"/>
    <w:rsid w:val="538916BC"/>
    <w:rsid w:val="538A03E0"/>
    <w:rsid w:val="538B4884"/>
    <w:rsid w:val="538C23AA"/>
    <w:rsid w:val="539354E6"/>
    <w:rsid w:val="53937294"/>
    <w:rsid w:val="53982AFD"/>
    <w:rsid w:val="539D6365"/>
    <w:rsid w:val="53A07C03"/>
    <w:rsid w:val="53A5346C"/>
    <w:rsid w:val="53A771E4"/>
    <w:rsid w:val="53B03160"/>
    <w:rsid w:val="53B042EA"/>
    <w:rsid w:val="53B8319F"/>
    <w:rsid w:val="53BA6F17"/>
    <w:rsid w:val="53BB67EB"/>
    <w:rsid w:val="53BD2563"/>
    <w:rsid w:val="53CC27A6"/>
    <w:rsid w:val="53DA3115"/>
    <w:rsid w:val="53DF072C"/>
    <w:rsid w:val="53EA0E7E"/>
    <w:rsid w:val="53FA7313"/>
    <w:rsid w:val="53FE2CFC"/>
    <w:rsid w:val="540006A2"/>
    <w:rsid w:val="540E7263"/>
    <w:rsid w:val="54112E78"/>
    <w:rsid w:val="541D1254"/>
    <w:rsid w:val="5426635A"/>
    <w:rsid w:val="5429409D"/>
    <w:rsid w:val="5435659E"/>
    <w:rsid w:val="543C0C79"/>
    <w:rsid w:val="54420CBA"/>
    <w:rsid w:val="544834DD"/>
    <w:rsid w:val="544B4013"/>
    <w:rsid w:val="544B5DC1"/>
    <w:rsid w:val="544B78E9"/>
    <w:rsid w:val="544F3B03"/>
    <w:rsid w:val="545729B8"/>
    <w:rsid w:val="5458228C"/>
    <w:rsid w:val="545D78A2"/>
    <w:rsid w:val="54613836"/>
    <w:rsid w:val="54640C31"/>
    <w:rsid w:val="54680721"/>
    <w:rsid w:val="546E1AAF"/>
    <w:rsid w:val="54705828"/>
    <w:rsid w:val="547C41CC"/>
    <w:rsid w:val="547F5A6B"/>
    <w:rsid w:val="5488513A"/>
    <w:rsid w:val="548D462B"/>
    <w:rsid w:val="54930741"/>
    <w:rsid w:val="5495528E"/>
    <w:rsid w:val="5495703C"/>
    <w:rsid w:val="549A0AF6"/>
    <w:rsid w:val="549C661D"/>
    <w:rsid w:val="549F610D"/>
    <w:rsid w:val="54A379AB"/>
    <w:rsid w:val="54A51975"/>
    <w:rsid w:val="54A7121F"/>
    <w:rsid w:val="54B020C8"/>
    <w:rsid w:val="54B35E4E"/>
    <w:rsid w:val="54B41297"/>
    <w:rsid w:val="54B81B39"/>
    <w:rsid w:val="54B971CF"/>
    <w:rsid w:val="54DA0EF3"/>
    <w:rsid w:val="54EA1A21"/>
    <w:rsid w:val="54EA7388"/>
    <w:rsid w:val="54F16968"/>
    <w:rsid w:val="54F71AA5"/>
    <w:rsid w:val="54FB77E7"/>
    <w:rsid w:val="54FF095A"/>
    <w:rsid w:val="550F6DEF"/>
    <w:rsid w:val="55110DB9"/>
    <w:rsid w:val="55214D74"/>
    <w:rsid w:val="5523289A"/>
    <w:rsid w:val="552503C0"/>
    <w:rsid w:val="55264138"/>
    <w:rsid w:val="552C5BF2"/>
    <w:rsid w:val="552F7491"/>
    <w:rsid w:val="55366A71"/>
    <w:rsid w:val="553E52D5"/>
    <w:rsid w:val="554271C4"/>
    <w:rsid w:val="55450A62"/>
    <w:rsid w:val="554967A4"/>
    <w:rsid w:val="554B2378"/>
    <w:rsid w:val="5553134E"/>
    <w:rsid w:val="55564A1D"/>
    <w:rsid w:val="5559450E"/>
    <w:rsid w:val="555962BC"/>
    <w:rsid w:val="55757F75"/>
    <w:rsid w:val="55760C1C"/>
    <w:rsid w:val="55766E6E"/>
    <w:rsid w:val="55825812"/>
    <w:rsid w:val="55890249"/>
    <w:rsid w:val="558C48E3"/>
    <w:rsid w:val="558E527B"/>
    <w:rsid w:val="558F6181"/>
    <w:rsid w:val="55915A56"/>
    <w:rsid w:val="559353B9"/>
    <w:rsid w:val="55983288"/>
    <w:rsid w:val="559B68D4"/>
    <w:rsid w:val="55A82D9F"/>
    <w:rsid w:val="55BB6F76"/>
    <w:rsid w:val="55C0458D"/>
    <w:rsid w:val="55C37BD9"/>
    <w:rsid w:val="55CE7630"/>
    <w:rsid w:val="55DD513F"/>
    <w:rsid w:val="55DD6EED"/>
    <w:rsid w:val="55DF2C65"/>
    <w:rsid w:val="55E22755"/>
    <w:rsid w:val="55E90C8C"/>
    <w:rsid w:val="55E93AE3"/>
    <w:rsid w:val="55E97640"/>
    <w:rsid w:val="55EC5382"/>
    <w:rsid w:val="55F424E4"/>
    <w:rsid w:val="56013A0F"/>
    <w:rsid w:val="560E354A"/>
    <w:rsid w:val="560E70A6"/>
    <w:rsid w:val="561548D9"/>
    <w:rsid w:val="561571DB"/>
    <w:rsid w:val="561A5A4B"/>
    <w:rsid w:val="56251848"/>
    <w:rsid w:val="56262642"/>
    <w:rsid w:val="56290384"/>
    <w:rsid w:val="562B7C58"/>
    <w:rsid w:val="5630526E"/>
    <w:rsid w:val="56333CCD"/>
    <w:rsid w:val="563F1955"/>
    <w:rsid w:val="5641747C"/>
    <w:rsid w:val="5642691E"/>
    <w:rsid w:val="5643645D"/>
    <w:rsid w:val="564B02FA"/>
    <w:rsid w:val="564B20A8"/>
    <w:rsid w:val="565703D1"/>
    <w:rsid w:val="565D3B8A"/>
    <w:rsid w:val="565F7902"/>
    <w:rsid w:val="5661367A"/>
    <w:rsid w:val="56617B1E"/>
    <w:rsid w:val="5664664B"/>
    <w:rsid w:val="566E5D97"/>
    <w:rsid w:val="56755377"/>
    <w:rsid w:val="567D7761"/>
    <w:rsid w:val="56814BE2"/>
    <w:rsid w:val="56837A94"/>
    <w:rsid w:val="568B06F7"/>
    <w:rsid w:val="56925F29"/>
    <w:rsid w:val="569357FD"/>
    <w:rsid w:val="56982E14"/>
    <w:rsid w:val="569C5FCF"/>
    <w:rsid w:val="569D042A"/>
    <w:rsid w:val="56A2566D"/>
    <w:rsid w:val="56B063AF"/>
    <w:rsid w:val="56B714EC"/>
    <w:rsid w:val="56B85264"/>
    <w:rsid w:val="56B934B6"/>
    <w:rsid w:val="56BD287A"/>
    <w:rsid w:val="56C1236A"/>
    <w:rsid w:val="56C65BD3"/>
    <w:rsid w:val="56C8194B"/>
    <w:rsid w:val="56CB4F97"/>
    <w:rsid w:val="56CD1691"/>
    <w:rsid w:val="56CE33BB"/>
    <w:rsid w:val="56D8341E"/>
    <w:rsid w:val="56DC0F52"/>
    <w:rsid w:val="56E10C5F"/>
    <w:rsid w:val="56E11251"/>
    <w:rsid w:val="56ED315F"/>
    <w:rsid w:val="56F02C50"/>
    <w:rsid w:val="56F76347"/>
    <w:rsid w:val="570109B9"/>
    <w:rsid w:val="57026402"/>
    <w:rsid w:val="57034731"/>
    <w:rsid w:val="570404A9"/>
    <w:rsid w:val="570D1A54"/>
    <w:rsid w:val="570D55B0"/>
    <w:rsid w:val="57144B90"/>
    <w:rsid w:val="571921A6"/>
    <w:rsid w:val="57193F55"/>
    <w:rsid w:val="571C1C97"/>
    <w:rsid w:val="57236B81"/>
    <w:rsid w:val="57256D9D"/>
    <w:rsid w:val="572D17AE"/>
    <w:rsid w:val="573153CF"/>
    <w:rsid w:val="573174F0"/>
    <w:rsid w:val="57325016"/>
    <w:rsid w:val="57346FE0"/>
    <w:rsid w:val="57362D58"/>
    <w:rsid w:val="57364B06"/>
    <w:rsid w:val="5737087F"/>
    <w:rsid w:val="573A3ECB"/>
    <w:rsid w:val="573E1C0D"/>
    <w:rsid w:val="573E766F"/>
    <w:rsid w:val="574134AB"/>
    <w:rsid w:val="57430FD1"/>
    <w:rsid w:val="57435475"/>
    <w:rsid w:val="57441E9D"/>
    <w:rsid w:val="574803C1"/>
    <w:rsid w:val="574D00A2"/>
    <w:rsid w:val="574F257F"/>
    <w:rsid w:val="574F3E1A"/>
    <w:rsid w:val="575B631B"/>
    <w:rsid w:val="57637240"/>
    <w:rsid w:val="57650F48"/>
    <w:rsid w:val="577216B2"/>
    <w:rsid w:val="57776ECD"/>
    <w:rsid w:val="57821531"/>
    <w:rsid w:val="57825F9E"/>
    <w:rsid w:val="57844805"/>
    <w:rsid w:val="578A6C00"/>
    <w:rsid w:val="57923D07"/>
    <w:rsid w:val="57931F59"/>
    <w:rsid w:val="57946E25"/>
    <w:rsid w:val="579A4EA3"/>
    <w:rsid w:val="579E445A"/>
    <w:rsid w:val="57A35F14"/>
    <w:rsid w:val="57AA1051"/>
    <w:rsid w:val="57AC03D9"/>
    <w:rsid w:val="57B65C47"/>
    <w:rsid w:val="57B91294"/>
    <w:rsid w:val="57BC3D89"/>
    <w:rsid w:val="57BD6030"/>
    <w:rsid w:val="57C9597B"/>
    <w:rsid w:val="57CA524F"/>
    <w:rsid w:val="57CF0AB7"/>
    <w:rsid w:val="57CF6D09"/>
    <w:rsid w:val="57E207EA"/>
    <w:rsid w:val="57E64E3D"/>
    <w:rsid w:val="57E75E01"/>
    <w:rsid w:val="57E91B79"/>
    <w:rsid w:val="57EA3B43"/>
    <w:rsid w:val="57EF4CB5"/>
    <w:rsid w:val="57F54F1E"/>
    <w:rsid w:val="57FA1FD8"/>
    <w:rsid w:val="57FD73D2"/>
    <w:rsid w:val="580249E9"/>
    <w:rsid w:val="58095D77"/>
    <w:rsid w:val="580C6F3F"/>
    <w:rsid w:val="581B1F4E"/>
    <w:rsid w:val="583848AE"/>
    <w:rsid w:val="58397CDE"/>
    <w:rsid w:val="584274DB"/>
    <w:rsid w:val="584D65AC"/>
    <w:rsid w:val="58523BC2"/>
    <w:rsid w:val="585D60C3"/>
    <w:rsid w:val="586438F5"/>
    <w:rsid w:val="58653850"/>
    <w:rsid w:val="58675193"/>
    <w:rsid w:val="586E6522"/>
    <w:rsid w:val="58726012"/>
    <w:rsid w:val="5878114F"/>
    <w:rsid w:val="587A6C75"/>
    <w:rsid w:val="5886561A"/>
    <w:rsid w:val="58873140"/>
    <w:rsid w:val="58874B22"/>
    <w:rsid w:val="588B70D4"/>
    <w:rsid w:val="589046EA"/>
    <w:rsid w:val="589A2E73"/>
    <w:rsid w:val="589F0489"/>
    <w:rsid w:val="58A10560"/>
    <w:rsid w:val="58A30EE9"/>
    <w:rsid w:val="58B02697"/>
    <w:rsid w:val="58B57CAD"/>
    <w:rsid w:val="58BD4DB3"/>
    <w:rsid w:val="58C3686E"/>
    <w:rsid w:val="58C919AA"/>
    <w:rsid w:val="58CD149A"/>
    <w:rsid w:val="58D36385"/>
    <w:rsid w:val="58E10AA2"/>
    <w:rsid w:val="58E32A6C"/>
    <w:rsid w:val="58E93DFA"/>
    <w:rsid w:val="58ED38EB"/>
    <w:rsid w:val="58ED7447"/>
    <w:rsid w:val="58EE3E4C"/>
    <w:rsid w:val="58EF7663"/>
    <w:rsid w:val="58F5454D"/>
    <w:rsid w:val="59101387"/>
    <w:rsid w:val="59123351"/>
    <w:rsid w:val="5915074C"/>
    <w:rsid w:val="591F781C"/>
    <w:rsid w:val="592117E6"/>
    <w:rsid w:val="592310BA"/>
    <w:rsid w:val="59246BE1"/>
    <w:rsid w:val="59266DFD"/>
    <w:rsid w:val="592866D1"/>
    <w:rsid w:val="5929341A"/>
    <w:rsid w:val="592A23C4"/>
    <w:rsid w:val="592B4413"/>
    <w:rsid w:val="592D1F39"/>
    <w:rsid w:val="592F5CB1"/>
    <w:rsid w:val="5934151A"/>
    <w:rsid w:val="59352B9C"/>
    <w:rsid w:val="5939268C"/>
    <w:rsid w:val="593C3F2A"/>
    <w:rsid w:val="594159E5"/>
    <w:rsid w:val="5943175D"/>
    <w:rsid w:val="5943350B"/>
    <w:rsid w:val="59474065"/>
    <w:rsid w:val="594A195D"/>
    <w:rsid w:val="59545718"/>
    <w:rsid w:val="59565F2D"/>
    <w:rsid w:val="59570D64"/>
    <w:rsid w:val="5960230F"/>
    <w:rsid w:val="59611BE3"/>
    <w:rsid w:val="59617E35"/>
    <w:rsid w:val="59653481"/>
    <w:rsid w:val="59657925"/>
    <w:rsid w:val="596D0588"/>
    <w:rsid w:val="596D2336"/>
    <w:rsid w:val="596F671B"/>
    <w:rsid w:val="59723DF0"/>
    <w:rsid w:val="59725B9E"/>
    <w:rsid w:val="5979517E"/>
    <w:rsid w:val="597B2CA5"/>
    <w:rsid w:val="597E6AF7"/>
    <w:rsid w:val="597F3A21"/>
    <w:rsid w:val="59860EEA"/>
    <w:rsid w:val="598D29D8"/>
    <w:rsid w:val="59925A49"/>
    <w:rsid w:val="59941FB8"/>
    <w:rsid w:val="59973856"/>
    <w:rsid w:val="59981AA8"/>
    <w:rsid w:val="5999137D"/>
    <w:rsid w:val="599B42CC"/>
    <w:rsid w:val="599B6EA3"/>
    <w:rsid w:val="59A33FA9"/>
    <w:rsid w:val="59AA17DC"/>
    <w:rsid w:val="59AD307A"/>
    <w:rsid w:val="59B91A1F"/>
    <w:rsid w:val="59BD150F"/>
    <w:rsid w:val="59C3464B"/>
    <w:rsid w:val="59C56616"/>
    <w:rsid w:val="59C7413C"/>
    <w:rsid w:val="59C77C98"/>
    <w:rsid w:val="59CB138A"/>
    <w:rsid w:val="59CC52AE"/>
    <w:rsid w:val="59CF1242"/>
    <w:rsid w:val="59E00D5A"/>
    <w:rsid w:val="59E92304"/>
    <w:rsid w:val="59ED3294"/>
    <w:rsid w:val="59F70789"/>
    <w:rsid w:val="59FA62BF"/>
    <w:rsid w:val="59FD6E49"/>
    <w:rsid w:val="5A0A4028"/>
    <w:rsid w:val="5A0E0674"/>
    <w:rsid w:val="5A0E1D6B"/>
    <w:rsid w:val="5A1124DF"/>
    <w:rsid w:val="5A186745"/>
    <w:rsid w:val="5A1B7FE4"/>
    <w:rsid w:val="5A252C10"/>
    <w:rsid w:val="5A272E2C"/>
    <w:rsid w:val="5A296BA4"/>
    <w:rsid w:val="5A2C3017"/>
    <w:rsid w:val="5A2E141F"/>
    <w:rsid w:val="5A3A2B60"/>
    <w:rsid w:val="5A3B2434"/>
    <w:rsid w:val="5A3B68D8"/>
    <w:rsid w:val="5A3E3CD2"/>
    <w:rsid w:val="5A3F7574"/>
    <w:rsid w:val="5A4532B2"/>
    <w:rsid w:val="5A4C2893"/>
    <w:rsid w:val="5A4C63EF"/>
    <w:rsid w:val="5A4D277C"/>
    <w:rsid w:val="5A4E6509"/>
    <w:rsid w:val="5A551748"/>
    <w:rsid w:val="5A5A6D5E"/>
    <w:rsid w:val="5A663955"/>
    <w:rsid w:val="5A6C6A91"/>
    <w:rsid w:val="5A6F2013"/>
    <w:rsid w:val="5A737E20"/>
    <w:rsid w:val="5A7B6CD4"/>
    <w:rsid w:val="5A7D47FA"/>
    <w:rsid w:val="5A82520F"/>
    <w:rsid w:val="5A836431"/>
    <w:rsid w:val="5A8463C7"/>
    <w:rsid w:val="5A853CAC"/>
    <w:rsid w:val="5A896C21"/>
    <w:rsid w:val="5A8C56CF"/>
    <w:rsid w:val="5A9009D2"/>
    <w:rsid w:val="5AA35C89"/>
    <w:rsid w:val="5AA8066B"/>
    <w:rsid w:val="5AB0697E"/>
    <w:rsid w:val="5ABD109B"/>
    <w:rsid w:val="5AC24903"/>
    <w:rsid w:val="5AC73CC7"/>
    <w:rsid w:val="5AC82265"/>
    <w:rsid w:val="5ACB37B8"/>
    <w:rsid w:val="5ACD0EF5"/>
    <w:rsid w:val="5AD22D98"/>
    <w:rsid w:val="5AD45A5C"/>
    <w:rsid w:val="5AD703AE"/>
    <w:rsid w:val="5ADC7773"/>
    <w:rsid w:val="5AE26D53"/>
    <w:rsid w:val="5AE825BC"/>
    <w:rsid w:val="5AEE394A"/>
    <w:rsid w:val="5AF30F60"/>
    <w:rsid w:val="5AF820D3"/>
    <w:rsid w:val="5AFC7E15"/>
    <w:rsid w:val="5B01542B"/>
    <w:rsid w:val="5B044F1C"/>
    <w:rsid w:val="5B0867BA"/>
    <w:rsid w:val="5B0F486B"/>
    <w:rsid w:val="5B1038C0"/>
    <w:rsid w:val="5B1934BE"/>
    <w:rsid w:val="5B1E5FDD"/>
    <w:rsid w:val="5B1F31C3"/>
    <w:rsid w:val="5B2F435C"/>
    <w:rsid w:val="5B3A093D"/>
    <w:rsid w:val="5B3C2907"/>
    <w:rsid w:val="5B465534"/>
    <w:rsid w:val="5B4B66A7"/>
    <w:rsid w:val="5B590DC3"/>
    <w:rsid w:val="5B5D4847"/>
    <w:rsid w:val="5B6553FD"/>
    <w:rsid w:val="5B667984"/>
    <w:rsid w:val="5B6836FC"/>
    <w:rsid w:val="5B755624"/>
    <w:rsid w:val="5B791466"/>
    <w:rsid w:val="5B85605C"/>
    <w:rsid w:val="5B885B4D"/>
    <w:rsid w:val="5B8A31BB"/>
    <w:rsid w:val="5B9718EC"/>
    <w:rsid w:val="5B9B762E"/>
    <w:rsid w:val="5BA81D4B"/>
    <w:rsid w:val="5BA87F9D"/>
    <w:rsid w:val="5BC16969"/>
    <w:rsid w:val="5BC22E0D"/>
    <w:rsid w:val="5BC70423"/>
    <w:rsid w:val="5BC76675"/>
    <w:rsid w:val="5BC97600"/>
    <w:rsid w:val="5BCC3C8B"/>
    <w:rsid w:val="5BCD355F"/>
    <w:rsid w:val="5BCF72D8"/>
    <w:rsid w:val="5BD90156"/>
    <w:rsid w:val="5BDA7B0F"/>
    <w:rsid w:val="5BDB4667"/>
    <w:rsid w:val="5BE03293"/>
    <w:rsid w:val="5BE508A9"/>
    <w:rsid w:val="5BE82147"/>
    <w:rsid w:val="5BEA2363"/>
    <w:rsid w:val="5BEA5EBF"/>
    <w:rsid w:val="5BED775E"/>
    <w:rsid w:val="5BF40AEC"/>
    <w:rsid w:val="5BF44F90"/>
    <w:rsid w:val="5BF84A80"/>
    <w:rsid w:val="5BF907F8"/>
    <w:rsid w:val="5C0A6562"/>
    <w:rsid w:val="5C0E3189"/>
    <w:rsid w:val="5C1628C9"/>
    <w:rsid w:val="5C166CB5"/>
    <w:rsid w:val="5C180C7F"/>
    <w:rsid w:val="5C1D26AC"/>
    <w:rsid w:val="5C260B14"/>
    <w:rsid w:val="5C270EC2"/>
    <w:rsid w:val="5C2E18C1"/>
    <w:rsid w:val="5C2F7D76"/>
    <w:rsid w:val="5C384E7D"/>
    <w:rsid w:val="5C3D06E5"/>
    <w:rsid w:val="5C3E7FB9"/>
    <w:rsid w:val="5C42182E"/>
    <w:rsid w:val="5C447CC6"/>
    <w:rsid w:val="5C4C6B7A"/>
    <w:rsid w:val="5C4F0418"/>
    <w:rsid w:val="5C545A2F"/>
    <w:rsid w:val="5C563555"/>
    <w:rsid w:val="5C5679F9"/>
    <w:rsid w:val="5C6A5252"/>
    <w:rsid w:val="5C6C2D78"/>
    <w:rsid w:val="5C700ABB"/>
    <w:rsid w:val="5C71213D"/>
    <w:rsid w:val="5C8400C2"/>
    <w:rsid w:val="5C891B7C"/>
    <w:rsid w:val="5C8B76A2"/>
    <w:rsid w:val="5C8E7193"/>
    <w:rsid w:val="5C8F2446"/>
    <w:rsid w:val="5C902F0B"/>
    <w:rsid w:val="5CA40764"/>
    <w:rsid w:val="5CAB1AF3"/>
    <w:rsid w:val="5CAE513F"/>
    <w:rsid w:val="5CB14C2F"/>
    <w:rsid w:val="5CB70498"/>
    <w:rsid w:val="5CBC0C04"/>
    <w:rsid w:val="5CBE2E26"/>
    <w:rsid w:val="5CBF10FA"/>
    <w:rsid w:val="5CBF559E"/>
    <w:rsid w:val="5CC74453"/>
    <w:rsid w:val="5CC91F79"/>
    <w:rsid w:val="5CC957EC"/>
    <w:rsid w:val="5CD20046"/>
    <w:rsid w:val="5CD32DF8"/>
    <w:rsid w:val="5CD64696"/>
    <w:rsid w:val="5CD7552A"/>
    <w:rsid w:val="5CD821BC"/>
    <w:rsid w:val="5CDA23D8"/>
    <w:rsid w:val="5CDA4186"/>
    <w:rsid w:val="5CDF179C"/>
    <w:rsid w:val="5CDF725D"/>
    <w:rsid w:val="5CE84AF5"/>
    <w:rsid w:val="5CF31EAE"/>
    <w:rsid w:val="5CF60894"/>
    <w:rsid w:val="5CF80AB0"/>
    <w:rsid w:val="5CF8460C"/>
    <w:rsid w:val="5D015BB7"/>
    <w:rsid w:val="5D02548B"/>
    <w:rsid w:val="5D0B51BA"/>
    <w:rsid w:val="5D1A0A26"/>
    <w:rsid w:val="5D1A4582"/>
    <w:rsid w:val="5D1C479E"/>
    <w:rsid w:val="5D1F27C7"/>
    <w:rsid w:val="5D211DB5"/>
    <w:rsid w:val="5D2673CB"/>
    <w:rsid w:val="5D2B49E2"/>
    <w:rsid w:val="5D2C42B6"/>
    <w:rsid w:val="5D325D70"/>
    <w:rsid w:val="5D355860"/>
    <w:rsid w:val="5D3724ED"/>
    <w:rsid w:val="5D375134"/>
    <w:rsid w:val="5D3F048D"/>
    <w:rsid w:val="5D414205"/>
    <w:rsid w:val="5D417D61"/>
    <w:rsid w:val="5D423AD9"/>
    <w:rsid w:val="5D465377"/>
    <w:rsid w:val="5D4930BA"/>
    <w:rsid w:val="5D4E247E"/>
    <w:rsid w:val="5D5201C0"/>
    <w:rsid w:val="5D5C103F"/>
    <w:rsid w:val="5D5D0727"/>
    <w:rsid w:val="5D647EF4"/>
    <w:rsid w:val="5D6567A1"/>
    <w:rsid w:val="5D6A375C"/>
    <w:rsid w:val="5D7243BE"/>
    <w:rsid w:val="5D7719D5"/>
    <w:rsid w:val="5D777C27"/>
    <w:rsid w:val="5D7874FB"/>
    <w:rsid w:val="5D7E2D63"/>
    <w:rsid w:val="5D873CE6"/>
    <w:rsid w:val="5D8A5BAC"/>
    <w:rsid w:val="5D8C1467"/>
    <w:rsid w:val="5D8C59A3"/>
    <w:rsid w:val="5D900CE9"/>
    <w:rsid w:val="5D9500AD"/>
    <w:rsid w:val="5D972730"/>
    <w:rsid w:val="5D9F2CDA"/>
    <w:rsid w:val="5DA14CA4"/>
    <w:rsid w:val="5DAA1DAA"/>
    <w:rsid w:val="5DAA7FFC"/>
    <w:rsid w:val="5DAF5613"/>
    <w:rsid w:val="5DB03139"/>
    <w:rsid w:val="5DB06C95"/>
    <w:rsid w:val="5DB42C29"/>
    <w:rsid w:val="5DB669A1"/>
    <w:rsid w:val="5DBA7B13"/>
    <w:rsid w:val="5DD07337"/>
    <w:rsid w:val="5DDB1F64"/>
    <w:rsid w:val="5DDF5CD5"/>
    <w:rsid w:val="5DE04C18"/>
    <w:rsid w:val="5DE132F2"/>
    <w:rsid w:val="5DE352BC"/>
    <w:rsid w:val="5DE47EA7"/>
    <w:rsid w:val="5DE80B25"/>
    <w:rsid w:val="5DEA21A7"/>
    <w:rsid w:val="5DEA664B"/>
    <w:rsid w:val="5DEF3C61"/>
    <w:rsid w:val="5DF70D68"/>
    <w:rsid w:val="5DF72B16"/>
    <w:rsid w:val="5DFB0858"/>
    <w:rsid w:val="5DFC012C"/>
    <w:rsid w:val="5E03770C"/>
    <w:rsid w:val="5E0771FD"/>
    <w:rsid w:val="5E0A45F7"/>
    <w:rsid w:val="5E0B5586"/>
    <w:rsid w:val="5E0C5870"/>
    <w:rsid w:val="5E0E778C"/>
    <w:rsid w:val="5E111458"/>
    <w:rsid w:val="5E2002BE"/>
    <w:rsid w:val="5E282CCF"/>
    <w:rsid w:val="5E2F0501"/>
    <w:rsid w:val="5E341674"/>
    <w:rsid w:val="5E3E0745"/>
    <w:rsid w:val="5E3F1A16"/>
    <w:rsid w:val="5E40589C"/>
    <w:rsid w:val="5E473A9D"/>
    <w:rsid w:val="5E48511F"/>
    <w:rsid w:val="5E4C2E61"/>
    <w:rsid w:val="5E510478"/>
    <w:rsid w:val="5E5B4E53"/>
    <w:rsid w:val="5E5D174A"/>
    <w:rsid w:val="5E6C52B2"/>
    <w:rsid w:val="5E6D4B86"/>
    <w:rsid w:val="5E766130"/>
    <w:rsid w:val="5E794B36"/>
    <w:rsid w:val="5E7B72A3"/>
    <w:rsid w:val="5E7E62BB"/>
    <w:rsid w:val="5E801A7A"/>
    <w:rsid w:val="5E806C04"/>
    <w:rsid w:val="5E8425FB"/>
    <w:rsid w:val="5E8A398A"/>
    <w:rsid w:val="5E8C7702"/>
    <w:rsid w:val="5E8F2D4E"/>
    <w:rsid w:val="5E914D18"/>
    <w:rsid w:val="5E952810"/>
    <w:rsid w:val="5E9640DD"/>
    <w:rsid w:val="5E993BCD"/>
    <w:rsid w:val="5EAA5DDA"/>
    <w:rsid w:val="5EB10F16"/>
    <w:rsid w:val="5EB34C8F"/>
    <w:rsid w:val="5EB822A5"/>
    <w:rsid w:val="5EBA601D"/>
    <w:rsid w:val="5EBD78BB"/>
    <w:rsid w:val="5ECA3D86"/>
    <w:rsid w:val="5ECE3876"/>
    <w:rsid w:val="5ED05841"/>
    <w:rsid w:val="5ED12D16"/>
    <w:rsid w:val="5ED35331"/>
    <w:rsid w:val="5ED864A3"/>
    <w:rsid w:val="5EDA221B"/>
    <w:rsid w:val="5EDC2437"/>
    <w:rsid w:val="5EE23838"/>
    <w:rsid w:val="5EE4067B"/>
    <w:rsid w:val="5EE44E48"/>
    <w:rsid w:val="5EEA61D6"/>
    <w:rsid w:val="5EEB267A"/>
    <w:rsid w:val="5EEC01A1"/>
    <w:rsid w:val="5EF7101F"/>
    <w:rsid w:val="5EF808F3"/>
    <w:rsid w:val="5EF9570B"/>
    <w:rsid w:val="5EFA28BD"/>
    <w:rsid w:val="5EFE3014"/>
    <w:rsid w:val="5F0059FA"/>
    <w:rsid w:val="5F0454EA"/>
    <w:rsid w:val="5F053285"/>
    <w:rsid w:val="5F071D35"/>
    <w:rsid w:val="5F083F22"/>
    <w:rsid w:val="5F0B0627"/>
    <w:rsid w:val="5F166FCB"/>
    <w:rsid w:val="5F1A6ABC"/>
    <w:rsid w:val="5F1D2E7B"/>
    <w:rsid w:val="5F1F0576"/>
    <w:rsid w:val="5F21609C"/>
    <w:rsid w:val="5F221015"/>
    <w:rsid w:val="5F225970"/>
    <w:rsid w:val="5F265461"/>
    <w:rsid w:val="5F27742B"/>
    <w:rsid w:val="5F296CFF"/>
    <w:rsid w:val="5F351B48"/>
    <w:rsid w:val="5F354DEF"/>
    <w:rsid w:val="5F3758C0"/>
    <w:rsid w:val="5F3D27AA"/>
    <w:rsid w:val="5F426012"/>
    <w:rsid w:val="5F427DC1"/>
    <w:rsid w:val="5F487ACD"/>
    <w:rsid w:val="5F4D50E3"/>
    <w:rsid w:val="5F61293D"/>
    <w:rsid w:val="5F6146EB"/>
    <w:rsid w:val="5F667F53"/>
    <w:rsid w:val="5F7563E8"/>
    <w:rsid w:val="5F795ED8"/>
    <w:rsid w:val="5F797C86"/>
    <w:rsid w:val="5F86681A"/>
    <w:rsid w:val="5F93061C"/>
    <w:rsid w:val="5F944AC0"/>
    <w:rsid w:val="5FA34D03"/>
    <w:rsid w:val="5FA6034F"/>
    <w:rsid w:val="5FA665A1"/>
    <w:rsid w:val="5FAD7930"/>
    <w:rsid w:val="5FB7255D"/>
    <w:rsid w:val="5FB76A00"/>
    <w:rsid w:val="5FB83C1B"/>
    <w:rsid w:val="5FBC5DC5"/>
    <w:rsid w:val="5FC52BF1"/>
    <w:rsid w:val="5FC627A0"/>
    <w:rsid w:val="5FC765D8"/>
    <w:rsid w:val="5FC8476A"/>
    <w:rsid w:val="5FD037A9"/>
    <w:rsid w:val="5FD17AC2"/>
    <w:rsid w:val="5FE377F5"/>
    <w:rsid w:val="5FEA34C1"/>
    <w:rsid w:val="5FED41D0"/>
    <w:rsid w:val="5FF05A6E"/>
    <w:rsid w:val="5FF217E7"/>
    <w:rsid w:val="5FF4730D"/>
    <w:rsid w:val="5FF53085"/>
    <w:rsid w:val="5FFC2665"/>
    <w:rsid w:val="60002155"/>
    <w:rsid w:val="600C0AFA"/>
    <w:rsid w:val="600D03CE"/>
    <w:rsid w:val="60130CB8"/>
    <w:rsid w:val="60160C5E"/>
    <w:rsid w:val="601614EA"/>
    <w:rsid w:val="60172FFB"/>
    <w:rsid w:val="6017784D"/>
    <w:rsid w:val="60193217"/>
    <w:rsid w:val="601E438A"/>
    <w:rsid w:val="602120CC"/>
    <w:rsid w:val="6022031E"/>
    <w:rsid w:val="602A0546"/>
    <w:rsid w:val="602C1457"/>
    <w:rsid w:val="602D0A71"/>
    <w:rsid w:val="602E53E0"/>
    <w:rsid w:val="60321077"/>
    <w:rsid w:val="60363DC9"/>
    <w:rsid w:val="6037369D"/>
    <w:rsid w:val="60397415"/>
    <w:rsid w:val="60481918"/>
    <w:rsid w:val="604D2EC1"/>
    <w:rsid w:val="604F6C39"/>
    <w:rsid w:val="605129B1"/>
    <w:rsid w:val="60527752"/>
    <w:rsid w:val="60566219"/>
    <w:rsid w:val="60575AEE"/>
    <w:rsid w:val="60591866"/>
    <w:rsid w:val="605E0C2A"/>
    <w:rsid w:val="60600E46"/>
    <w:rsid w:val="606A72AE"/>
    <w:rsid w:val="607246D5"/>
    <w:rsid w:val="60771CEC"/>
    <w:rsid w:val="607C7302"/>
    <w:rsid w:val="6084703B"/>
    <w:rsid w:val="60883EF9"/>
    <w:rsid w:val="608C0D72"/>
    <w:rsid w:val="608C1C3B"/>
    <w:rsid w:val="608F7035"/>
    <w:rsid w:val="60932FCA"/>
    <w:rsid w:val="60997EB4"/>
    <w:rsid w:val="609A4358"/>
    <w:rsid w:val="609B2796"/>
    <w:rsid w:val="60A24FBB"/>
    <w:rsid w:val="60AA3E6F"/>
    <w:rsid w:val="60B44CEE"/>
    <w:rsid w:val="60C90799"/>
    <w:rsid w:val="60CA0D14"/>
    <w:rsid w:val="60D121D8"/>
    <w:rsid w:val="60D1764E"/>
    <w:rsid w:val="60D61108"/>
    <w:rsid w:val="60D62EB6"/>
    <w:rsid w:val="60DB227B"/>
    <w:rsid w:val="60DC2E87"/>
    <w:rsid w:val="60DF620F"/>
    <w:rsid w:val="60E07891"/>
    <w:rsid w:val="60E170B6"/>
    <w:rsid w:val="60E455D3"/>
    <w:rsid w:val="60E5134B"/>
    <w:rsid w:val="60E91ED1"/>
    <w:rsid w:val="60EC4488"/>
    <w:rsid w:val="60EE0200"/>
    <w:rsid w:val="60F0394C"/>
    <w:rsid w:val="60F11A9E"/>
    <w:rsid w:val="60F15F42"/>
    <w:rsid w:val="60F670B5"/>
    <w:rsid w:val="60F872D1"/>
    <w:rsid w:val="610417D1"/>
    <w:rsid w:val="61046695"/>
    <w:rsid w:val="61073070"/>
    <w:rsid w:val="610B0DB2"/>
    <w:rsid w:val="610E43FE"/>
    <w:rsid w:val="61135EB8"/>
    <w:rsid w:val="611759A9"/>
    <w:rsid w:val="611A7247"/>
    <w:rsid w:val="611E2EA2"/>
    <w:rsid w:val="6120512E"/>
    <w:rsid w:val="6124788B"/>
    <w:rsid w:val="612A43D5"/>
    <w:rsid w:val="612B4FB0"/>
    <w:rsid w:val="613A51F3"/>
    <w:rsid w:val="613D4CE3"/>
    <w:rsid w:val="614B5652"/>
    <w:rsid w:val="61532759"/>
    <w:rsid w:val="61572E28"/>
    <w:rsid w:val="615F2EAC"/>
    <w:rsid w:val="615F3904"/>
    <w:rsid w:val="61630BEE"/>
    <w:rsid w:val="61646545"/>
    <w:rsid w:val="61673576"/>
    <w:rsid w:val="616D55C9"/>
    <w:rsid w:val="616E30EF"/>
    <w:rsid w:val="616E570B"/>
    <w:rsid w:val="61706E67"/>
    <w:rsid w:val="617701F5"/>
    <w:rsid w:val="61930DA7"/>
    <w:rsid w:val="61932B55"/>
    <w:rsid w:val="6198016C"/>
    <w:rsid w:val="619A3EE4"/>
    <w:rsid w:val="61A1293E"/>
    <w:rsid w:val="61A46B11"/>
    <w:rsid w:val="61A62889"/>
    <w:rsid w:val="61A80567"/>
    <w:rsid w:val="61A905CB"/>
    <w:rsid w:val="61AF3E33"/>
    <w:rsid w:val="61BA27D8"/>
    <w:rsid w:val="61CE3B8D"/>
    <w:rsid w:val="61D17F19"/>
    <w:rsid w:val="61D5316E"/>
    <w:rsid w:val="61D877AD"/>
    <w:rsid w:val="61DC44FC"/>
    <w:rsid w:val="61DF5D9B"/>
    <w:rsid w:val="61EB076E"/>
    <w:rsid w:val="61F93300"/>
    <w:rsid w:val="61FC06FB"/>
    <w:rsid w:val="61FF01EB"/>
    <w:rsid w:val="620B6B90"/>
    <w:rsid w:val="620C3034"/>
    <w:rsid w:val="621326B5"/>
    <w:rsid w:val="621517BC"/>
    <w:rsid w:val="62157A0E"/>
    <w:rsid w:val="621912AD"/>
    <w:rsid w:val="621E68C3"/>
    <w:rsid w:val="62216AA8"/>
    <w:rsid w:val="6223212B"/>
    <w:rsid w:val="62251537"/>
    <w:rsid w:val="62255EA3"/>
    <w:rsid w:val="62257C51"/>
    <w:rsid w:val="622B0FE0"/>
    <w:rsid w:val="62344338"/>
    <w:rsid w:val="62361E5F"/>
    <w:rsid w:val="623954AB"/>
    <w:rsid w:val="623E0D13"/>
    <w:rsid w:val="62422689"/>
    <w:rsid w:val="6247406C"/>
    <w:rsid w:val="624A2A2E"/>
    <w:rsid w:val="624A3B5C"/>
    <w:rsid w:val="624B004A"/>
    <w:rsid w:val="624B51DE"/>
    <w:rsid w:val="624E5AC5"/>
    <w:rsid w:val="624F2F20"/>
    <w:rsid w:val="62540537"/>
    <w:rsid w:val="625422E5"/>
    <w:rsid w:val="625A7327"/>
    <w:rsid w:val="62600C89"/>
    <w:rsid w:val="6260295D"/>
    <w:rsid w:val="62616E11"/>
    <w:rsid w:val="62677252"/>
    <w:rsid w:val="626B762E"/>
    <w:rsid w:val="626F711E"/>
    <w:rsid w:val="62767148"/>
    <w:rsid w:val="62797F9D"/>
    <w:rsid w:val="627B5AC3"/>
    <w:rsid w:val="6280553C"/>
    <w:rsid w:val="628506F0"/>
    <w:rsid w:val="628726BA"/>
    <w:rsid w:val="628801E0"/>
    <w:rsid w:val="628A3F58"/>
    <w:rsid w:val="629149FC"/>
    <w:rsid w:val="62970423"/>
    <w:rsid w:val="629845C2"/>
    <w:rsid w:val="629848C7"/>
    <w:rsid w:val="629B555C"/>
    <w:rsid w:val="62B17737"/>
    <w:rsid w:val="62B64D4D"/>
    <w:rsid w:val="62B80AC5"/>
    <w:rsid w:val="62BE08F6"/>
    <w:rsid w:val="62C76F5B"/>
    <w:rsid w:val="62C84A81"/>
    <w:rsid w:val="62CA67E9"/>
    <w:rsid w:val="62D96C8E"/>
    <w:rsid w:val="62DB47B4"/>
    <w:rsid w:val="62DD3054"/>
    <w:rsid w:val="62E0626E"/>
    <w:rsid w:val="62E55633"/>
    <w:rsid w:val="62EF200D"/>
    <w:rsid w:val="62F85366"/>
    <w:rsid w:val="62FB30A8"/>
    <w:rsid w:val="62FB4E56"/>
    <w:rsid w:val="63091321"/>
    <w:rsid w:val="63181657"/>
    <w:rsid w:val="6329551F"/>
    <w:rsid w:val="63310878"/>
    <w:rsid w:val="633345F0"/>
    <w:rsid w:val="6333639E"/>
    <w:rsid w:val="63386578"/>
    <w:rsid w:val="63464323"/>
    <w:rsid w:val="63531900"/>
    <w:rsid w:val="635B58F5"/>
    <w:rsid w:val="635D166D"/>
    <w:rsid w:val="636724EC"/>
    <w:rsid w:val="636A012E"/>
    <w:rsid w:val="636C7B02"/>
    <w:rsid w:val="636E5628"/>
    <w:rsid w:val="6372336A"/>
    <w:rsid w:val="637569B7"/>
    <w:rsid w:val="637C1FEA"/>
    <w:rsid w:val="637C5F97"/>
    <w:rsid w:val="637E4A58"/>
    <w:rsid w:val="63844E4C"/>
    <w:rsid w:val="63870498"/>
    <w:rsid w:val="638B61DA"/>
    <w:rsid w:val="638E1826"/>
    <w:rsid w:val="63974B7F"/>
    <w:rsid w:val="639F3A33"/>
    <w:rsid w:val="63A70B3A"/>
    <w:rsid w:val="63B75221"/>
    <w:rsid w:val="63B76FCF"/>
    <w:rsid w:val="63BD210C"/>
    <w:rsid w:val="63BE65AF"/>
    <w:rsid w:val="63BF40D6"/>
    <w:rsid w:val="63C01BA2"/>
    <w:rsid w:val="63C76EA4"/>
    <w:rsid w:val="63CB4828"/>
    <w:rsid w:val="63CC6F48"/>
    <w:rsid w:val="63CE289F"/>
    <w:rsid w:val="63D27965"/>
    <w:rsid w:val="63D374BF"/>
    <w:rsid w:val="63D74F7B"/>
    <w:rsid w:val="63DD455C"/>
    <w:rsid w:val="63DF2082"/>
    <w:rsid w:val="63E1404C"/>
    <w:rsid w:val="63E36016"/>
    <w:rsid w:val="63E458EA"/>
    <w:rsid w:val="63F27673"/>
    <w:rsid w:val="63F90961"/>
    <w:rsid w:val="63FC70D8"/>
    <w:rsid w:val="63FD075A"/>
    <w:rsid w:val="640970FF"/>
    <w:rsid w:val="640D3093"/>
    <w:rsid w:val="640D6BEF"/>
    <w:rsid w:val="6410048D"/>
    <w:rsid w:val="64151F48"/>
    <w:rsid w:val="64153CF6"/>
    <w:rsid w:val="64234664"/>
    <w:rsid w:val="642B3519"/>
    <w:rsid w:val="643B19AE"/>
    <w:rsid w:val="643C5726"/>
    <w:rsid w:val="644F7208"/>
    <w:rsid w:val="645018E6"/>
    <w:rsid w:val="64524F4A"/>
    <w:rsid w:val="64632CB3"/>
    <w:rsid w:val="646627A3"/>
    <w:rsid w:val="646D3B32"/>
    <w:rsid w:val="646D768E"/>
    <w:rsid w:val="64782F6F"/>
    <w:rsid w:val="64794284"/>
    <w:rsid w:val="64832E50"/>
    <w:rsid w:val="648669A1"/>
    <w:rsid w:val="648C045C"/>
    <w:rsid w:val="648F3AA8"/>
    <w:rsid w:val="64915A72"/>
    <w:rsid w:val="64960A56"/>
    <w:rsid w:val="64963088"/>
    <w:rsid w:val="64A03E97"/>
    <w:rsid w:val="64A16127"/>
    <w:rsid w:val="64A21A2D"/>
    <w:rsid w:val="64A31301"/>
    <w:rsid w:val="64AA6B34"/>
    <w:rsid w:val="64AC465A"/>
    <w:rsid w:val="64AD2180"/>
    <w:rsid w:val="64B11C70"/>
    <w:rsid w:val="64B452BD"/>
    <w:rsid w:val="64B67731"/>
    <w:rsid w:val="64B928D3"/>
    <w:rsid w:val="64B96D77"/>
    <w:rsid w:val="64C00105"/>
    <w:rsid w:val="64C17C5F"/>
    <w:rsid w:val="64C73242"/>
    <w:rsid w:val="64CA4AE0"/>
    <w:rsid w:val="64CF0348"/>
    <w:rsid w:val="64D8544F"/>
    <w:rsid w:val="64E2007C"/>
    <w:rsid w:val="64E42046"/>
    <w:rsid w:val="64F47DAF"/>
    <w:rsid w:val="64FF0C2E"/>
    <w:rsid w:val="650224CC"/>
    <w:rsid w:val="65037FF2"/>
    <w:rsid w:val="65053D6A"/>
    <w:rsid w:val="6509385A"/>
    <w:rsid w:val="6511270F"/>
    <w:rsid w:val="65130235"/>
    <w:rsid w:val="65150451"/>
    <w:rsid w:val="651641C9"/>
    <w:rsid w:val="65177F59"/>
    <w:rsid w:val="651A5A67"/>
    <w:rsid w:val="65200BA4"/>
    <w:rsid w:val="65277DA6"/>
    <w:rsid w:val="652C12F7"/>
    <w:rsid w:val="652D55BE"/>
    <w:rsid w:val="653D1756"/>
    <w:rsid w:val="65440F0D"/>
    <w:rsid w:val="654C7BEB"/>
    <w:rsid w:val="654E5711"/>
    <w:rsid w:val="654E74BF"/>
    <w:rsid w:val="655B7E2E"/>
    <w:rsid w:val="65660CAD"/>
    <w:rsid w:val="65670581"/>
    <w:rsid w:val="656B0071"/>
    <w:rsid w:val="656D3F94"/>
    <w:rsid w:val="656D7047"/>
    <w:rsid w:val="65736E7D"/>
    <w:rsid w:val="65736F26"/>
    <w:rsid w:val="657B402C"/>
    <w:rsid w:val="657D1B52"/>
    <w:rsid w:val="65817895"/>
    <w:rsid w:val="6582360D"/>
    <w:rsid w:val="65883BF7"/>
    <w:rsid w:val="658904F7"/>
    <w:rsid w:val="65921AA2"/>
    <w:rsid w:val="65953340"/>
    <w:rsid w:val="659770B8"/>
    <w:rsid w:val="659F41BF"/>
    <w:rsid w:val="65A215B9"/>
    <w:rsid w:val="65A74E21"/>
    <w:rsid w:val="65A92947"/>
    <w:rsid w:val="65AE61B0"/>
    <w:rsid w:val="65B03CD6"/>
    <w:rsid w:val="65B07F37"/>
    <w:rsid w:val="65B25723"/>
    <w:rsid w:val="65B37C6A"/>
    <w:rsid w:val="65B85280"/>
    <w:rsid w:val="65BF660F"/>
    <w:rsid w:val="65C14135"/>
    <w:rsid w:val="65C6799D"/>
    <w:rsid w:val="65CE23AE"/>
    <w:rsid w:val="65D21D70"/>
    <w:rsid w:val="65D35C16"/>
    <w:rsid w:val="65D73958"/>
    <w:rsid w:val="65DC4ACB"/>
    <w:rsid w:val="65DF280D"/>
    <w:rsid w:val="65EB4424"/>
    <w:rsid w:val="65F067C8"/>
    <w:rsid w:val="65F2109C"/>
    <w:rsid w:val="65F362B8"/>
    <w:rsid w:val="65FC6F1B"/>
    <w:rsid w:val="65FF4C5D"/>
    <w:rsid w:val="660109D5"/>
    <w:rsid w:val="66081D64"/>
    <w:rsid w:val="661C580F"/>
    <w:rsid w:val="661E1587"/>
    <w:rsid w:val="662B5A52"/>
    <w:rsid w:val="662C66AE"/>
    <w:rsid w:val="662D5327"/>
    <w:rsid w:val="66320B8F"/>
    <w:rsid w:val="6635242D"/>
    <w:rsid w:val="66391F1D"/>
    <w:rsid w:val="663C7C5F"/>
    <w:rsid w:val="663F32AC"/>
    <w:rsid w:val="664D7777"/>
    <w:rsid w:val="66540967"/>
    <w:rsid w:val="66566982"/>
    <w:rsid w:val="665723A3"/>
    <w:rsid w:val="665B6889"/>
    <w:rsid w:val="665F56FC"/>
    <w:rsid w:val="665F5F74"/>
    <w:rsid w:val="66695635"/>
    <w:rsid w:val="666A4179"/>
    <w:rsid w:val="666D1BC7"/>
    <w:rsid w:val="667017FF"/>
    <w:rsid w:val="66703465"/>
    <w:rsid w:val="66723681"/>
    <w:rsid w:val="667409A5"/>
    <w:rsid w:val="667C4500"/>
    <w:rsid w:val="66833198"/>
    <w:rsid w:val="6684749A"/>
    <w:rsid w:val="668A3144"/>
    <w:rsid w:val="668A4527"/>
    <w:rsid w:val="668B029F"/>
    <w:rsid w:val="668D04BB"/>
    <w:rsid w:val="6694184A"/>
    <w:rsid w:val="669B6734"/>
    <w:rsid w:val="66A55805"/>
    <w:rsid w:val="66A6332B"/>
    <w:rsid w:val="66A7157D"/>
    <w:rsid w:val="66A743CB"/>
    <w:rsid w:val="66AD46B9"/>
    <w:rsid w:val="66B94E0C"/>
    <w:rsid w:val="66BA2932"/>
    <w:rsid w:val="66BC48FC"/>
    <w:rsid w:val="66BE2423"/>
    <w:rsid w:val="66BE68C6"/>
    <w:rsid w:val="66C043ED"/>
    <w:rsid w:val="66C13CC1"/>
    <w:rsid w:val="66C37A39"/>
    <w:rsid w:val="66C57C55"/>
    <w:rsid w:val="66C739CD"/>
    <w:rsid w:val="66CF4630"/>
    <w:rsid w:val="66D15AB9"/>
    <w:rsid w:val="66D32372"/>
    <w:rsid w:val="66D6776C"/>
    <w:rsid w:val="66D86074"/>
    <w:rsid w:val="66D954AE"/>
    <w:rsid w:val="66DA434E"/>
    <w:rsid w:val="66DB4D83"/>
    <w:rsid w:val="66DC300A"/>
    <w:rsid w:val="66DE0D17"/>
    <w:rsid w:val="66E75E1D"/>
    <w:rsid w:val="66E8749F"/>
    <w:rsid w:val="66EA3218"/>
    <w:rsid w:val="66ED2D08"/>
    <w:rsid w:val="66F26570"/>
    <w:rsid w:val="66F65041"/>
    <w:rsid w:val="66F81DD8"/>
    <w:rsid w:val="66FE4F15"/>
    <w:rsid w:val="6700489B"/>
    <w:rsid w:val="670342D9"/>
    <w:rsid w:val="67080B97"/>
    <w:rsid w:val="670C5884"/>
    <w:rsid w:val="670D6F06"/>
    <w:rsid w:val="670F2C7E"/>
    <w:rsid w:val="671169F6"/>
    <w:rsid w:val="6723497B"/>
    <w:rsid w:val="67254250"/>
    <w:rsid w:val="672633AB"/>
    <w:rsid w:val="67281F92"/>
    <w:rsid w:val="672C3830"/>
    <w:rsid w:val="672C3FF8"/>
    <w:rsid w:val="672C7CD4"/>
    <w:rsid w:val="672F4040"/>
    <w:rsid w:val="67316662"/>
    <w:rsid w:val="673226C3"/>
    <w:rsid w:val="67380427"/>
    <w:rsid w:val="673E3563"/>
    <w:rsid w:val="67406AE9"/>
    <w:rsid w:val="674F751F"/>
    <w:rsid w:val="6751773B"/>
    <w:rsid w:val="67544B35"/>
    <w:rsid w:val="676236F6"/>
    <w:rsid w:val="6764746E"/>
    <w:rsid w:val="67693477"/>
    <w:rsid w:val="676C1E7F"/>
    <w:rsid w:val="676E5BF7"/>
    <w:rsid w:val="67791198"/>
    <w:rsid w:val="677B47B7"/>
    <w:rsid w:val="677D408C"/>
    <w:rsid w:val="678226DD"/>
    <w:rsid w:val="6783409D"/>
    <w:rsid w:val="678673E4"/>
    <w:rsid w:val="678A0557"/>
    <w:rsid w:val="678B4DA6"/>
    <w:rsid w:val="678E44EB"/>
    <w:rsid w:val="67903105"/>
    <w:rsid w:val="67963249"/>
    <w:rsid w:val="679715F1"/>
    <w:rsid w:val="67982C74"/>
    <w:rsid w:val="67994D87"/>
    <w:rsid w:val="679A2E90"/>
    <w:rsid w:val="679B2764"/>
    <w:rsid w:val="679C6C08"/>
    <w:rsid w:val="679D64DC"/>
    <w:rsid w:val="67A41618"/>
    <w:rsid w:val="67A94E81"/>
    <w:rsid w:val="67A96C2F"/>
    <w:rsid w:val="67B04461"/>
    <w:rsid w:val="67B33F51"/>
    <w:rsid w:val="67B561ED"/>
    <w:rsid w:val="67B81568"/>
    <w:rsid w:val="67CC0B6F"/>
    <w:rsid w:val="67CC4524"/>
    <w:rsid w:val="67CE48E7"/>
    <w:rsid w:val="67D5211A"/>
    <w:rsid w:val="67D67452"/>
    <w:rsid w:val="67DA14DE"/>
    <w:rsid w:val="67E22987"/>
    <w:rsid w:val="67E660D5"/>
    <w:rsid w:val="67E83C27"/>
    <w:rsid w:val="67E934CF"/>
    <w:rsid w:val="67FB3202"/>
    <w:rsid w:val="68093B71"/>
    <w:rsid w:val="680E48C8"/>
    <w:rsid w:val="681A5D7E"/>
    <w:rsid w:val="681A77FC"/>
    <w:rsid w:val="681C5653"/>
    <w:rsid w:val="681E586F"/>
    <w:rsid w:val="6821710D"/>
    <w:rsid w:val="68262975"/>
    <w:rsid w:val="682C160E"/>
    <w:rsid w:val="682D3D04"/>
    <w:rsid w:val="682E5386"/>
    <w:rsid w:val="683230C8"/>
    <w:rsid w:val="68354966"/>
    <w:rsid w:val="683D381B"/>
    <w:rsid w:val="683F7593"/>
    <w:rsid w:val="684352D5"/>
    <w:rsid w:val="68490412"/>
    <w:rsid w:val="684B5F38"/>
    <w:rsid w:val="684D41BC"/>
    <w:rsid w:val="68502127"/>
    <w:rsid w:val="68525518"/>
    <w:rsid w:val="68572B2F"/>
    <w:rsid w:val="685A261F"/>
    <w:rsid w:val="685E3D5A"/>
    <w:rsid w:val="68686AEA"/>
    <w:rsid w:val="68694BBB"/>
    <w:rsid w:val="686B482C"/>
    <w:rsid w:val="6870599E"/>
    <w:rsid w:val="68776D2D"/>
    <w:rsid w:val="687C4343"/>
    <w:rsid w:val="688651C2"/>
    <w:rsid w:val="688D02FE"/>
    <w:rsid w:val="68921DB9"/>
    <w:rsid w:val="68925915"/>
    <w:rsid w:val="68945B31"/>
    <w:rsid w:val="68975621"/>
    <w:rsid w:val="68996CA3"/>
    <w:rsid w:val="689E250C"/>
    <w:rsid w:val="68AB2E7A"/>
    <w:rsid w:val="68AB69D7"/>
    <w:rsid w:val="68B00491"/>
    <w:rsid w:val="68B04D43"/>
    <w:rsid w:val="68B910F3"/>
    <w:rsid w:val="68B920CF"/>
    <w:rsid w:val="68BF2482"/>
    <w:rsid w:val="68C21240"/>
    <w:rsid w:val="68C33104"/>
    <w:rsid w:val="68C47A98"/>
    <w:rsid w:val="68CA3301"/>
    <w:rsid w:val="68D20407"/>
    <w:rsid w:val="68D91796"/>
    <w:rsid w:val="68D979E8"/>
    <w:rsid w:val="68DB3760"/>
    <w:rsid w:val="68DE4FFE"/>
    <w:rsid w:val="68DE7866"/>
    <w:rsid w:val="68E343C2"/>
    <w:rsid w:val="68E51EE8"/>
    <w:rsid w:val="68F118F3"/>
    <w:rsid w:val="68F4037D"/>
    <w:rsid w:val="68F760C0"/>
    <w:rsid w:val="68FB3AEC"/>
    <w:rsid w:val="69006D22"/>
    <w:rsid w:val="6908207B"/>
    <w:rsid w:val="690D7691"/>
    <w:rsid w:val="69126A56"/>
    <w:rsid w:val="69136635"/>
    <w:rsid w:val="69196776"/>
    <w:rsid w:val="691B1DAE"/>
    <w:rsid w:val="691C1682"/>
    <w:rsid w:val="691F1D63"/>
    <w:rsid w:val="69224EEB"/>
    <w:rsid w:val="692605F6"/>
    <w:rsid w:val="692D4CEA"/>
    <w:rsid w:val="69313380"/>
    <w:rsid w:val="693764BC"/>
    <w:rsid w:val="693B41FE"/>
    <w:rsid w:val="69482477"/>
    <w:rsid w:val="694A4441"/>
    <w:rsid w:val="694C640B"/>
    <w:rsid w:val="694F1A58"/>
    <w:rsid w:val="695B664F"/>
    <w:rsid w:val="696372B1"/>
    <w:rsid w:val="69651127"/>
    <w:rsid w:val="69670B4F"/>
    <w:rsid w:val="696A0640"/>
    <w:rsid w:val="696C085C"/>
    <w:rsid w:val="696E0130"/>
    <w:rsid w:val="697274F4"/>
    <w:rsid w:val="69740396"/>
    <w:rsid w:val="697B284D"/>
    <w:rsid w:val="69841830"/>
    <w:rsid w:val="698C4A5A"/>
    <w:rsid w:val="698E432E"/>
    <w:rsid w:val="69937B96"/>
    <w:rsid w:val="699456BD"/>
    <w:rsid w:val="699B4C9D"/>
    <w:rsid w:val="699F51BA"/>
    <w:rsid w:val="69A00505"/>
    <w:rsid w:val="69A15125"/>
    <w:rsid w:val="69A26638"/>
    <w:rsid w:val="69A47FF6"/>
    <w:rsid w:val="69A55B1C"/>
    <w:rsid w:val="69AC6C0B"/>
    <w:rsid w:val="69AC6EAA"/>
    <w:rsid w:val="69B1626F"/>
    <w:rsid w:val="69B55D5F"/>
    <w:rsid w:val="69B813AB"/>
    <w:rsid w:val="69BF098B"/>
    <w:rsid w:val="69C064B2"/>
    <w:rsid w:val="69C45FA2"/>
    <w:rsid w:val="69C53AC8"/>
    <w:rsid w:val="69CC30A8"/>
    <w:rsid w:val="69CF4947"/>
    <w:rsid w:val="69D1504E"/>
    <w:rsid w:val="69D63F27"/>
    <w:rsid w:val="69E5416A"/>
    <w:rsid w:val="69E623BC"/>
    <w:rsid w:val="69E860BE"/>
    <w:rsid w:val="69EA4A76"/>
    <w:rsid w:val="69EB79D2"/>
    <w:rsid w:val="69F0323B"/>
    <w:rsid w:val="69F34AD9"/>
    <w:rsid w:val="69F61ED3"/>
    <w:rsid w:val="69FA7C16"/>
    <w:rsid w:val="69FD7706"/>
    <w:rsid w:val="69FF6FDA"/>
    <w:rsid w:val="6A10568B"/>
    <w:rsid w:val="6A116D0D"/>
    <w:rsid w:val="6A136F29"/>
    <w:rsid w:val="6A154A4F"/>
    <w:rsid w:val="6A1D56B2"/>
    <w:rsid w:val="6A244C92"/>
    <w:rsid w:val="6A2E3D63"/>
    <w:rsid w:val="6A380F1F"/>
    <w:rsid w:val="6A3F0348"/>
    <w:rsid w:val="6A4E7F61"/>
    <w:rsid w:val="6A554E4C"/>
    <w:rsid w:val="6A5F4AB0"/>
    <w:rsid w:val="6A6908F7"/>
    <w:rsid w:val="6A6D6639"/>
    <w:rsid w:val="6A7A0D56"/>
    <w:rsid w:val="6A7A48B2"/>
    <w:rsid w:val="6A7C02EA"/>
    <w:rsid w:val="6A7D5B50"/>
    <w:rsid w:val="6A890F99"/>
    <w:rsid w:val="6A94006A"/>
    <w:rsid w:val="6A941E18"/>
    <w:rsid w:val="6A975464"/>
    <w:rsid w:val="6AAA163C"/>
    <w:rsid w:val="6AB2229E"/>
    <w:rsid w:val="6AB26742"/>
    <w:rsid w:val="6ABC136F"/>
    <w:rsid w:val="6ABE0C43"/>
    <w:rsid w:val="6ABE6E95"/>
    <w:rsid w:val="6AC975E8"/>
    <w:rsid w:val="6AD00976"/>
    <w:rsid w:val="6AD01DAC"/>
    <w:rsid w:val="6AD42215"/>
    <w:rsid w:val="6ADE12E5"/>
    <w:rsid w:val="6AE200AB"/>
    <w:rsid w:val="6AE368FC"/>
    <w:rsid w:val="6AE42367"/>
    <w:rsid w:val="6AEA7C8A"/>
    <w:rsid w:val="6AEB755E"/>
    <w:rsid w:val="6AED777A"/>
    <w:rsid w:val="6AEF34F2"/>
    <w:rsid w:val="6AF24D91"/>
    <w:rsid w:val="6AF40B09"/>
    <w:rsid w:val="6AF428B7"/>
    <w:rsid w:val="6AF723A7"/>
    <w:rsid w:val="6AF74155"/>
    <w:rsid w:val="6AFB3C45"/>
    <w:rsid w:val="6AFD41D0"/>
    <w:rsid w:val="6AFE54E3"/>
    <w:rsid w:val="6B1271E1"/>
    <w:rsid w:val="6B1940CB"/>
    <w:rsid w:val="6B2313EE"/>
    <w:rsid w:val="6B2807B2"/>
    <w:rsid w:val="6B2A0087"/>
    <w:rsid w:val="6B2A277C"/>
    <w:rsid w:val="6B3453A9"/>
    <w:rsid w:val="6B376C47"/>
    <w:rsid w:val="6B39476E"/>
    <w:rsid w:val="6B451364"/>
    <w:rsid w:val="6B460C38"/>
    <w:rsid w:val="6B4B024C"/>
    <w:rsid w:val="6B5604E6"/>
    <w:rsid w:val="6B625A72"/>
    <w:rsid w:val="6B6B19DF"/>
    <w:rsid w:val="6B737C7F"/>
    <w:rsid w:val="6B7B450B"/>
    <w:rsid w:val="6B864EA6"/>
    <w:rsid w:val="6B910106"/>
    <w:rsid w:val="6B9B2D32"/>
    <w:rsid w:val="6BA02A3F"/>
    <w:rsid w:val="6BA3608B"/>
    <w:rsid w:val="6BA50055"/>
    <w:rsid w:val="6BAA7419"/>
    <w:rsid w:val="6BAC4F3F"/>
    <w:rsid w:val="6BB32772"/>
    <w:rsid w:val="6BB34520"/>
    <w:rsid w:val="6BBA58AE"/>
    <w:rsid w:val="6BBB1626"/>
    <w:rsid w:val="6BC04E8F"/>
    <w:rsid w:val="6BC244FB"/>
    <w:rsid w:val="6BC4656B"/>
    <w:rsid w:val="6BCE3108"/>
    <w:rsid w:val="6BD61FBC"/>
    <w:rsid w:val="6BD9385B"/>
    <w:rsid w:val="6BDB5825"/>
    <w:rsid w:val="6BE40B7D"/>
    <w:rsid w:val="6BE648F5"/>
    <w:rsid w:val="6BE93DEA"/>
    <w:rsid w:val="6BE96194"/>
    <w:rsid w:val="6BF608B1"/>
    <w:rsid w:val="6C0024CA"/>
    <w:rsid w:val="6C00528B"/>
    <w:rsid w:val="6C014D94"/>
    <w:rsid w:val="6C060AF4"/>
    <w:rsid w:val="6C060CCC"/>
    <w:rsid w:val="6C0E1756"/>
    <w:rsid w:val="6C240F7A"/>
    <w:rsid w:val="6C292A34"/>
    <w:rsid w:val="6C2E0628"/>
    <w:rsid w:val="6C315445"/>
    <w:rsid w:val="6C5555D7"/>
    <w:rsid w:val="6C557385"/>
    <w:rsid w:val="6C5A2BED"/>
    <w:rsid w:val="6C5A499B"/>
    <w:rsid w:val="6C5C5FB4"/>
    <w:rsid w:val="6C627CF4"/>
    <w:rsid w:val="6C635F46"/>
    <w:rsid w:val="6C663C0C"/>
    <w:rsid w:val="6C700663"/>
    <w:rsid w:val="6C731F01"/>
    <w:rsid w:val="6C823EF2"/>
    <w:rsid w:val="6C867EA1"/>
    <w:rsid w:val="6C892993"/>
    <w:rsid w:val="6C89702F"/>
    <w:rsid w:val="6C8E6D3B"/>
    <w:rsid w:val="6C975BF0"/>
    <w:rsid w:val="6C9854C4"/>
    <w:rsid w:val="6C9A748E"/>
    <w:rsid w:val="6C9E6F7E"/>
    <w:rsid w:val="6CA65E33"/>
    <w:rsid w:val="6CA67BE1"/>
    <w:rsid w:val="6CA9147F"/>
    <w:rsid w:val="6CBB6B88"/>
    <w:rsid w:val="6CBC5656"/>
    <w:rsid w:val="6CBD4F2A"/>
    <w:rsid w:val="6CBF6EF4"/>
    <w:rsid w:val="6CC10EBE"/>
    <w:rsid w:val="6CC22541"/>
    <w:rsid w:val="6CC30793"/>
    <w:rsid w:val="6CC369E5"/>
    <w:rsid w:val="6CC62031"/>
    <w:rsid w:val="6CC85DA9"/>
    <w:rsid w:val="6CC91B21"/>
    <w:rsid w:val="6CD24E7A"/>
    <w:rsid w:val="6CD504C6"/>
    <w:rsid w:val="6CD56718"/>
    <w:rsid w:val="6CD96208"/>
    <w:rsid w:val="6CDC3602"/>
    <w:rsid w:val="6CE10C19"/>
    <w:rsid w:val="6CEF77DA"/>
    <w:rsid w:val="6CF52916"/>
    <w:rsid w:val="6CF546C4"/>
    <w:rsid w:val="6CF7043C"/>
    <w:rsid w:val="6CFA7F2C"/>
    <w:rsid w:val="6CFB1986"/>
    <w:rsid w:val="6D064B23"/>
    <w:rsid w:val="6D0A4613"/>
    <w:rsid w:val="6D0A63C2"/>
    <w:rsid w:val="6D0E5786"/>
    <w:rsid w:val="6D147240"/>
    <w:rsid w:val="6D196605"/>
    <w:rsid w:val="6D1C60F5"/>
    <w:rsid w:val="6D1F1741"/>
    <w:rsid w:val="6D2154B9"/>
    <w:rsid w:val="6D237483"/>
    <w:rsid w:val="6D254FA9"/>
    <w:rsid w:val="6D28210E"/>
    <w:rsid w:val="6D317978"/>
    <w:rsid w:val="6D3247B6"/>
    <w:rsid w:val="6D365409"/>
    <w:rsid w:val="6D390A55"/>
    <w:rsid w:val="6D3A657B"/>
    <w:rsid w:val="6D3C0545"/>
    <w:rsid w:val="6D3E42BD"/>
    <w:rsid w:val="6D3F3B91"/>
    <w:rsid w:val="6D464F20"/>
    <w:rsid w:val="6D48513C"/>
    <w:rsid w:val="6D4A2C62"/>
    <w:rsid w:val="6D4A4A10"/>
    <w:rsid w:val="6D5910F7"/>
    <w:rsid w:val="6D5C2995"/>
    <w:rsid w:val="6D605FE2"/>
    <w:rsid w:val="6D68133A"/>
    <w:rsid w:val="6D6A3304"/>
    <w:rsid w:val="6D6B7D8C"/>
    <w:rsid w:val="6D7825A4"/>
    <w:rsid w:val="6D8134CB"/>
    <w:rsid w:val="6D8223FC"/>
    <w:rsid w:val="6D8450A3"/>
    <w:rsid w:val="6D851EEC"/>
    <w:rsid w:val="6D855A48"/>
    <w:rsid w:val="6D8D1717"/>
    <w:rsid w:val="6D9143ED"/>
    <w:rsid w:val="6D981C1F"/>
    <w:rsid w:val="6D9B526C"/>
    <w:rsid w:val="6DA06D26"/>
    <w:rsid w:val="6DA253D5"/>
    <w:rsid w:val="6DA87988"/>
    <w:rsid w:val="6DAA54AF"/>
    <w:rsid w:val="6DBD1097"/>
    <w:rsid w:val="6DBE71AC"/>
    <w:rsid w:val="6DC347C2"/>
    <w:rsid w:val="6DCA34DF"/>
    <w:rsid w:val="6DCA3DA3"/>
    <w:rsid w:val="6DCA78FF"/>
    <w:rsid w:val="6DD32C57"/>
    <w:rsid w:val="6DE035C6"/>
    <w:rsid w:val="6DE36237"/>
    <w:rsid w:val="6DE5298B"/>
    <w:rsid w:val="6DEE183F"/>
    <w:rsid w:val="6DEE5CE3"/>
    <w:rsid w:val="6DEF3809"/>
    <w:rsid w:val="6DF66946"/>
    <w:rsid w:val="6DFD1A82"/>
    <w:rsid w:val="6E070B53"/>
    <w:rsid w:val="6E0A5F70"/>
    <w:rsid w:val="6E0B0643"/>
    <w:rsid w:val="6E0B1A73"/>
    <w:rsid w:val="6E0E0444"/>
    <w:rsid w:val="6E1119D2"/>
    <w:rsid w:val="6E146DCC"/>
    <w:rsid w:val="6E170016"/>
    <w:rsid w:val="6E192634"/>
    <w:rsid w:val="6E1F0D5C"/>
    <w:rsid w:val="6E2C680B"/>
    <w:rsid w:val="6E2E7E8E"/>
    <w:rsid w:val="6E357253"/>
    <w:rsid w:val="6E386F5E"/>
    <w:rsid w:val="6E3D4575"/>
    <w:rsid w:val="6E470F4F"/>
    <w:rsid w:val="6E4753F3"/>
    <w:rsid w:val="6E4771A1"/>
    <w:rsid w:val="6E4E0530"/>
    <w:rsid w:val="6E600263"/>
    <w:rsid w:val="6E623CFD"/>
    <w:rsid w:val="6E6C6C08"/>
    <w:rsid w:val="6E737F96"/>
    <w:rsid w:val="6E777A87"/>
    <w:rsid w:val="6E7839C9"/>
    <w:rsid w:val="6E7855AD"/>
    <w:rsid w:val="6E810905"/>
    <w:rsid w:val="6E873477"/>
    <w:rsid w:val="6E8757F0"/>
    <w:rsid w:val="6E895767"/>
    <w:rsid w:val="6E8C1058"/>
    <w:rsid w:val="6E8E4DD0"/>
    <w:rsid w:val="6E934195"/>
    <w:rsid w:val="6E9C573F"/>
    <w:rsid w:val="6E9F0D8B"/>
    <w:rsid w:val="6E9F2B3A"/>
    <w:rsid w:val="6EA91C0A"/>
    <w:rsid w:val="6EB532F4"/>
    <w:rsid w:val="6EB760D5"/>
    <w:rsid w:val="6EBB79A1"/>
    <w:rsid w:val="6EBC7B8F"/>
    <w:rsid w:val="6EBE56B6"/>
    <w:rsid w:val="6EC3011F"/>
    <w:rsid w:val="6ED36C87"/>
    <w:rsid w:val="6ED926EF"/>
    <w:rsid w:val="6EE3336E"/>
    <w:rsid w:val="6EE36ECA"/>
    <w:rsid w:val="6EED5F9B"/>
    <w:rsid w:val="6EF07839"/>
    <w:rsid w:val="6EF74724"/>
    <w:rsid w:val="6EF966EE"/>
    <w:rsid w:val="6F0208BD"/>
    <w:rsid w:val="6F0230C8"/>
    <w:rsid w:val="6F03756C"/>
    <w:rsid w:val="6F0B01CF"/>
    <w:rsid w:val="6F132CD7"/>
    <w:rsid w:val="6F212F57"/>
    <w:rsid w:val="6F283E13"/>
    <w:rsid w:val="6F3516F0"/>
    <w:rsid w:val="6F435BBB"/>
    <w:rsid w:val="6F451933"/>
    <w:rsid w:val="6F481F12"/>
    <w:rsid w:val="6F4B1580"/>
    <w:rsid w:val="6F4F1391"/>
    <w:rsid w:val="6F5002D8"/>
    <w:rsid w:val="6F524050"/>
    <w:rsid w:val="6F55769C"/>
    <w:rsid w:val="6F5A2F04"/>
    <w:rsid w:val="6F5A4CB2"/>
    <w:rsid w:val="6F5E47A3"/>
    <w:rsid w:val="6F616041"/>
    <w:rsid w:val="6F683873"/>
    <w:rsid w:val="6F6873CF"/>
    <w:rsid w:val="6F6A3147"/>
    <w:rsid w:val="6F6F4C02"/>
    <w:rsid w:val="6F767D3E"/>
    <w:rsid w:val="6F79782E"/>
    <w:rsid w:val="6F854425"/>
    <w:rsid w:val="6F885CC3"/>
    <w:rsid w:val="6F8A63F7"/>
    <w:rsid w:val="6F8B1310"/>
    <w:rsid w:val="6F8C7562"/>
    <w:rsid w:val="6F8D6E36"/>
    <w:rsid w:val="6F92269E"/>
    <w:rsid w:val="6F9D176F"/>
    <w:rsid w:val="6FA56875"/>
    <w:rsid w:val="6FAF14A2"/>
    <w:rsid w:val="6FAF3250"/>
    <w:rsid w:val="6FB533AD"/>
    <w:rsid w:val="6FB940CF"/>
    <w:rsid w:val="6FB97C2B"/>
    <w:rsid w:val="6FBB78D3"/>
    <w:rsid w:val="6FC565D0"/>
    <w:rsid w:val="6FC66AD9"/>
    <w:rsid w:val="6FC860C0"/>
    <w:rsid w:val="6FCD1928"/>
    <w:rsid w:val="6FCD36D6"/>
    <w:rsid w:val="6FE262EA"/>
    <w:rsid w:val="6FE50A20"/>
    <w:rsid w:val="6FE70C3C"/>
    <w:rsid w:val="6FEA072C"/>
    <w:rsid w:val="6FF43359"/>
    <w:rsid w:val="6FFB6495"/>
    <w:rsid w:val="700370F8"/>
    <w:rsid w:val="70052E70"/>
    <w:rsid w:val="700A492A"/>
    <w:rsid w:val="70194B6E"/>
    <w:rsid w:val="701B6B38"/>
    <w:rsid w:val="701E3F32"/>
    <w:rsid w:val="702459EC"/>
    <w:rsid w:val="70293003"/>
    <w:rsid w:val="702A28D7"/>
    <w:rsid w:val="703947D7"/>
    <w:rsid w:val="703D6AAE"/>
    <w:rsid w:val="70433998"/>
    <w:rsid w:val="704F233D"/>
    <w:rsid w:val="705A140E"/>
    <w:rsid w:val="705A7660"/>
    <w:rsid w:val="706E6C67"/>
    <w:rsid w:val="707A073A"/>
    <w:rsid w:val="707A1AB0"/>
    <w:rsid w:val="707B1384"/>
    <w:rsid w:val="70814BED"/>
    <w:rsid w:val="708244C1"/>
    <w:rsid w:val="708276CF"/>
    <w:rsid w:val="70840239"/>
    <w:rsid w:val="7084648B"/>
    <w:rsid w:val="70877D29"/>
    <w:rsid w:val="708D657F"/>
    <w:rsid w:val="708E28C9"/>
    <w:rsid w:val="709C1A26"/>
    <w:rsid w:val="709F32C5"/>
    <w:rsid w:val="709F5073"/>
    <w:rsid w:val="70A1703D"/>
    <w:rsid w:val="70A24B63"/>
    <w:rsid w:val="70A95EF1"/>
    <w:rsid w:val="70AC7790"/>
    <w:rsid w:val="70AE6490"/>
    <w:rsid w:val="70B07280"/>
    <w:rsid w:val="70B12FF8"/>
    <w:rsid w:val="70B52AE8"/>
    <w:rsid w:val="70B7060E"/>
    <w:rsid w:val="70BA1EAD"/>
    <w:rsid w:val="70BF540B"/>
    <w:rsid w:val="70C20D61"/>
    <w:rsid w:val="70C270EB"/>
    <w:rsid w:val="70C60851"/>
    <w:rsid w:val="70C76378"/>
    <w:rsid w:val="70CB5E68"/>
    <w:rsid w:val="70D0347E"/>
    <w:rsid w:val="70E1568B"/>
    <w:rsid w:val="70E433CD"/>
    <w:rsid w:val="70E62CA2"/>
    <w:rsid w:val="70E707C8"/>
    <w:rsid w:val="70E92792"/>
    <w:rsid w:val="70F3716D"/>
    <w:rsid w:val="70F57389"/>
    <w:rsid w:val="70FF1FB5"/>
    <w:rsid w:val="7104137A"/>
    <w:rsid w:val="7104581E"/>
    <w:rsid w:val="71080E6A"/>
    <w:rsid w:val="71092E34"/>
    <w:rsid w:val="710E3FA6"/>
    <w:rsid w:val="7111134C"/>
    <w:rsid w:val="71123A97"/>
    <w:rsid w:val="7113780F"/>
    <w:rsid w:val="71177976"/>
    <w:rsid w:val="71202F6F"/>
    <w:rsid w:val="712D08D1"/>
    <w:rsid w:val="712D4759"/>
    <w:rsid w:val="71327C95"/>
    <w:rsid w:val="713C4FB8"/>
    <w:rsid w:val="713F6856"/>
    <w:rsid w:val="7141612A"/>
    <w:rsid w:val="714724C5"/>
    <w:rsid w:val="7150636D"/>
    <w:rsid w:val="71557E27"/>
    <w:rsid w:val="71573B9F"/>
    <w:rsid w:val="715E4F2E"/>
    <w:rsid w:val="71600CA6"/>
    <w:rsid w:val="716342F2"/>
    <w:rsid w:val="71662034"/>
    <w:rsid w:val="71754026"/>
    <w:rsid w:val="71755DD4"/>
    <w:rsid w:val="71775FF0"/>
    <w:rsid w:val="71777D9E"/>
    <w:rsid w:val="717E737E"/>
    <w:rsid w:val="71867FE1"/>
    <w:rsid w:val="718801FD"/>
    <w:rsid w:val="718F3339"/>
    <w:rsid w:val="719B448D"/>
    <w:rsid w:val="71A072F4"/>
    <w:rsid w:val="71A566B9"/>
    <w:rsid w:val="71A87F57"/>
    <w:rsid w:val="71BB412E"/>
    <w:rsid w:val="71BC1C54"/>
    <w:rsid w:val="71C07997"/>
    <w:rsid w:val="71C54FAD"/>
    <w:rsid w:val="71D01EF0"/>
    <w:rsid w:val="71D14D55"/>
    <w:rsid w:val="71D21478"/>
    <w:rsid w:val="71E13469"/>
    <w:rsid w:val="71EC078C"/>
    <w:rsid w:val="71F3507D"/>
    <w:rsid w:val="71FB452B"/>
    <w:rsid w:val="71FD64F5"/>
    <w:rsid w:val="72004F7C"/>
    <w:rsid w:val="72007D93"/>
    <w:rsid w:val="72031631"/>
    <w:rsid w:val="720733D7"/>
    <w:rsid w:val="72084E9A"/>
    <w:rsid w:val="720B2A01"/>
    <w:rsid w:val="72113D4E"/>
    <w:rsid w:val="7218332F"/>
    <w:rsid w:val="72190E55"/>
    <w:rsid w:val="721D26F3"/>
    <w:rsid w:val="72227D09"/>
    <w:rsid w:val="72247F25"/>
    <w:rsid w:val="72255807"/>
    <w:rsid w:val="722F0678"/>
    <w:rsid w:val="72312642"/>
    <w:rsid w:val="7238577F"/>
    <w:rsid w:val="723A163E"/>
    <w:rsid w:val="723F6B0D"/>
    <w:rsid w:val="72451C4A"/>
    <w:rsid w:val="72480BA0"/>
    <w:rsid w:val="724A7260"/>
    <w:rsid w:val="724E4FA2"/>
    <w:rsid w:val="724E6D50"/>
    <w:rsid w:val="725400DF"/>
    <w:rsid w:val="72541E8D"/>
    <w:rsid w:val="726245AA"/>
    <w:rsid w:val="726C5429"/>
    <w:rsid w:val="72710C91"/>
    <w:rsid w:val="7278201F"/>
    <w:rsid w:val="727A5D97"/>
    <w:rsid w:val="727F15CE"/>
    <w:rsid w:val="72842772"/>
    <w:rsid w:val="72842D34"/>
    <w:rsid w:val="728A3B01"/>
    <w:rsid w:val="728E35F1"/>
    <w:rsid w:val="728E539F"/>
    <w:rsid w:val="729A5CBF"/>
    <w:rsid w:val="729B5D0E"/>
    <w:rsid w:val="729B7ABC"/>
    <w:rsid w:val="72A42E14"/>
    <w:rsid w:val="72B62B48"/>
    <w:rsid w:val="72BA43E6"/>
    <w:rsid w:val="72C139C6"/>
    <w:rsid w:val="72C47013"/>
    <w:rsid w:val="72CA214F"/>
    <w:rsid w:val="72D57472"/>
    <w:rsid w:val="72DB610A"/>
    <w:rsid w:val="72E651DB"/>
    <w:rsid w:val="72E72D01"/>
    <w:rsid w:val="72E96A79"/>
    <w:rsid w:val="72F33A41"/>
    <w:rsid w:val="72F571CC"/>
    <w:rsid w:val="72FA6ED8"/>
    <w:rsid w:val="72FB6029"/>
    <w:rsid w:val="72FD0776"/>
    <w:rsid w:val="730076A1"/>
    <w:rsid w:val="73044836"/>
    <w:rsid w:val="73076EFF"/>
    <w:rsid w:val="73092C77"/>
    <w:rsid w:val="730B2E93"/>
    <w:rsid w:val="730D6C0C"/>
    <w:rsid w:val="73133AF6"/>
    <w:rsid w:val="731358A4"/>
    <w:rsid w:val="73146EFC"/>
    <w:rsid w:val="7316683A"/>
    <w:rsid w:val="732775A1"/>
    <w:rsid w:val="732B52E4"/>
    <w:rsid w:val="733C4DFB"/>
    <w:rsid w:val="733E6DC5"/>
    <w:rsid w:val="734E4B2E"/>
    <w:rsid w:val="73505624"/>
    <w:rsid w:val="73520AC2"/>
    <w:rsid w:val="73547264"/>
    <w:rsid w:val="73552361"/>
    <w:rsid w:val="735C2B21"/>
    <w:rsid w:val="73661E78"/>
    <w:rsid w:val="73691968"/>
    <w:rsid w:val="736B748E"/>
    <w:rsid w:val="73702CF6"/>
    <w:rsid w:val="7370719A"/>
    <w:rsid w:val="7373744D"/>
    <w:rsid w:val="737547B1"/>
    <w:rsid w:val="737B5110"/>
    <w:rsid w:val="737E3665"/>
    <w:rsid w:val="73880040"/>
    <w:rsid w:val="73893DB8"/>
    <w:rsid w:val="738B18DE"/>
    <w:rsid w:val="738B58EE"/>
    <w:rsid w:val="738F7621"/>
    <w:rsid w:val="73A330CC"/>
    <w:rsid w:val="73A34E7A"/>
    <w:rsid w:val="73A56E44"/>
    <w:rsid w:val="73AD3F4B"/>
    <w:rsid w:val="73B057E9"/>
    <w:rsid w:val="73B452D9"/>
    <w:rsid w:val="73B72B30"/>
    <w:rsid w:val="73BA177B"/>
    <w:rsid w:val="73C3376E"/>
    <w:rsid w:val="73C372CA"/>
    <w:rsid w:val="73C66DBA"/>
    <w:rsid w:val="73C867F7"/>
    <w:rsid w:val="73CD1EF7"/>
    <w:rsid w:val="73D03795"/>
    <w:rsid w:val="73D56FFD"/>
    <w:rsid w:val="73DB1B03"/>
    <w:rsid w:val="73DB2866"/>
    <w:rsid w:val="73E060CE"/>
    <w:rsid w:val="73E07E7C"/>
    <w:rsid w:val="73F05BE5"/>
    <w:rsid w:val="73F2195D"/>
    <w:rsid w:val="73F41B79"/>
    <w:rsid w:val="73F44B5D"/>
    <w:rsid w:val="73FC458A"/>
    <w:rsid w:val="74055B35"/>
    <w:rsid w:val="740873D3"/>
    <w:rsid w:val="740A314B"/>
    <w:rsid w:val="740F0761"/>
    <w:rsid w:val="74150AF2"/>
    <w:rsid w:val="74161AF0"/>
    <w:rsid w:val="741C4C2C"/>
    <w:rsid w:val="742A7ABE"/>
    <w:rsid w:val="742E508B"/>
    <w:rsid w:val="74343D24"/>
    <w:rsid w:val="74373814"/>
    <w:rsid w:val="7439758C"/>
    <w:rsid w:val="74404DBF"/>
    <w:rsid w:val="744D4DE6"/>
    <w:rsid w:val="74534AF2"/>
    <w:rsid w:val="74543E56"/>
    <w:rsid w:val="74583EB6"/>
    <w:rsid w:val="745D771F"/>
    <w:rsid w:val="745F570D"/>
    <w:rsid w:val="74600FBD"/>
    <w:rsid w:val="74604B19"/>
    <w:rsid w:val="74626AE3"/>
    <w:rsid w:val="746D7236"/>
    <w:rsid w:val="747607E0"/>
    <w:rsid w:val="747D1B6F"/>
    <w:rsid w:val="747F7695"/>
    <w:rsid w:val="74822CE1"/>
    <w:rsid w:val="7487479C"/>
    <w:rsid w:val="74890514"/>
    <w:rsid w:val="74895A9B"/>
    <w:rsid w:val="748C7BA9"/>
    <w:rsid w:val="74933140"/>
    <w:rsid w:val="749A44CF"/>
    <w:rsid w:val="749A61FE"/>
    <w:rsid w:val="74A013B9"/>
    <w:rsid w:val="74A23383"/>
    <w:rsid w:val="74A27997"/>
    <w:rsid w:val="74AA048A"/>
    <w:rsid w:val="74AC35B3"/>
    <w:rsid w:val="74AF5AA0"/>
    <w:rsid w:val="74BD640F"/>
    <w:rsid w:val="74BF5FDA"/>
    <w:rsid w:val="74C4779E"/>
    <w:rsid w:val="74C652C4"/>
    <w:rsid w:val="74C90910"/>
    <w:rsid w:val="74C96B62"/>
    <w:rsid w:val="74CA5026"/>
    <w:rsid w:val="74CE5F27"/>
    <w:rsid w:val="74DF6442"/>
    <w:rsid w:val="74E120FE"/>
    <w:rsid w:val="74EE481B"/>
    <w:rsid w:val="74F16945"/>
    <w:rsid w:val="74F17E67"/>
    <w:rsid w:val="74F75B59"/>
    <w:rsid w:val="74F75E16"/>
    <w:rsid w:val="74FD4A5E"/>
    <w:rsid w:val="75023E22"/>
    <w:rsid w:val="750758DC"/>
    <w:rsid w:val="75097A0A"/>
    <w:rsid w:val="750D2EF3"/>
    <w:rsid w:val="751002ED"/>
    <w:rsid w:val="75151DA7"/>
    <w:rsid w:val="751853F4"/>
    <w:rsid w:val="75243D99"/>
    <w:rsid w:val="75295853"/>
    <w:rsid w:val="75297EC4"/>
    <w:rsid w:val="752B15CB"/>
    <w:rsid w:val="752B3379"/>
    <w:rsid w:val="752E10BB"/>
    <w:rsid w:val="752E2E69"/>
    <w:rsid w:val="75314379"/>
    <w:rsid w:val="75355FA6"/>
    <w:rsid w:val="753B10E2"/>
    <w:rsid w:val="753B7E9C"/>
    <w:rsid w:val="753E571C"/>
    <w:rsid w:val="754232D5"/>
    <w:rsid w:val="75556648"/>
    <w:rsid w:val="75575F1C"/>
    <w:rsid w:val="755C3532"/>
    <w:rsid w:val="7561323F"/>
    <w:rsid w:val="75640639"/>
    <w:rsid w:val="75660855"/>
    <w:rsid w:val="756D3991"/>
    <w:rsid w:val="756E30BA"/>
    <w:rsid w:val="757271FA"/>
    <w:rsid w:val="757403BC"/>
    <w:rsid w:val="75746B8E"/>
    <w:rsid w:val="75750A98"/>
    <w:rsid w:val="757A60AE"/>
    <w:rsid w:val="757C1E26"/>
    <w:rsid w:val="757F36C5"/>
    <w:rsid w:val="757F403F"/>
    <w:rsid w:val="758049EE"/>
    <w:rsid w:val="758D193E"/>
    <w:rsid w:val="758F1B5A"/>
    <w:rsid w:val="75A249A1"/>
    <w:rsid w:val="75A44ED9"/>
    <w:rsid w:val="75AE054D"/>
    <w:rsid w:val="75B23A9A"/>
    <w:rsid w:val="75B94E29"/>
    <w:rsid w:val="75BC62B9"/>
    <w:rsid w:val="75C612F4"/>
    <w:rsid w:val="75CA2B92"/>
    <w:rsid w:val="75CD61DE"/>
    <w:rsid w:val="75CF63FA"/>
    <w:rsid w:val="75D03F20"/>
    <w:rsid w:val="75D837BA"/>
    <w:rsid w:val="75D91027"/>
    <w:rsid w:val="75DA08FB"/>
    <w:rsid w:val="75DF5F11"/>
    <w:rsid w:val="75E023B5"/>
    <w:rsid w:val="75E4177A"/>
    <w:rsid w:val="75EB48B6"/>
    <w:rsid w:val="75EF6E70"/>
    <w:rsid w:val="75F776FF"/>
    <w:rsid w:val="75FB71EF"/>
    <w:rsid w:val="75FB7AF8"/>
    <w:rsid w:val="75FE0A8D"/>
    <w:rsid w:val="76004806"/>
    <w:rsid w:val="7608069C"/>
    <w:rsid w:val="76112E45"/>
    <w:rsid w:val="761415C4"/>
    <w:rsid w:val="761A519B"/>
    <w:rsid w:val="761B163F"/>
    <w:rsid w:val="761C0F14"/>
    <w:rsid w:val="7621477C"/>
    <w:rsid w:val="76235D60"/>
    <w:rsid w:val="76257DC8"/>
    <w:rsid w:val="762D4ECF"/>
    <w:rsid w:val="76342701"/>
    <w:rsid w:val="76375D4D"/>
    <w:rsid w:val="76402E54"/>
    <w:rsid w:val="76404C02"/>
    <w:rsid w:val="764435B3"/>
    <w:rsid w:val="764861AD"/>
    <w:rsid w:val="764A5A81"/>
    <w:rsid w:val="764D0FCD"/>
    <w:rsid w:val="764D731F"/>
    <w:rsid w:val="764F753B"/>
    <w:rsid w:val="76524935"/>
    <w:rsid w:val="76595CC4"/>
    <w:rsid w:val="765B5EE0"/>
    <w:rsid w:val="765C7562"/>
    <w:rsid w:val="765E152C"/>
    <w:rsid w:val="7662726E"/>
    <w:rsid w:val="76654669"/>
    <w:rsid w:val="766965C6"/>
    <w:rsid w:val="766A6123"/>
    <w:rsid w:val="766F7295"/>
    <w:rsid w:val="76740D50"/>
    <w:rsid w:val="768052EC"/>
    <w:rsid w:val="76805946"/>
    <w:rsid w:val="76852F5D"/>
    <w:rsid w:val="768D3BBF"/>
    <w:rsid w:val="769E5DCD"/>
    <w:rsid w:val="76A07D97"/>
    <w:rsid w:val="76A67006"/>
    <w:rsid w:val="76A92BA6"/>
    <w:rsid w:val="76AE6010"/>
    <w:rsid w:val="76B31878"/>
    <w:rsid w:val="76B4114C"/>
    <w:rsid w:val="76B6209B"/>
    <w:rsid w:val="76B850E0"/>
    <w:rsid w:val="76BA3D3B"/>
    <w:rsid w:val="76BB697E"/>
    <w:rsid w:val="76C05D43"/>
    <w:rsid w:val="76C07AF1"/>
    <w:rsid w:val="76C70E7F"/>
    <w:rsid w:val="76C770D1"/>
    <w:rsid w:val="76CE0460"/>
    <w:rsid w:val="76D11CFE"/>
    <w:rsid w:val="76D17F50"/>
    <w:rsid w:val="76D96E05"/>
    <w:rsid w:val="76DA5057"/>
    <w:rsid w:val="76DD2264"/>
    <w:rsid w:val="76DF08BF"/>
    <w:rsid w:val="76DF266D"/>
    <w:rsid w:val="76E00193"/>
    <w:rsid w:val="76E41A31"/>
    <w:rsid w:val="76E557A9"/>
    <w:rsid w:val="76E9529A"/>
    <w:rsid w:val="76EC08E6"/>
    <w:rsid w:val="76FD2AF3"/>
    <w:rsid w:val="76FF2D0F"/>
    <w:rsid w:val="77040325"/>
    <w:rsid w:val="77042AF0"/>
    <w:rsid w:val="77091498"/>
    <w:rsid w:val="77092027"/>
    <w:rsid w:val="7709593C"/>
    <w:rsid w:val="77112A42"/>
    <w:rsid w:val="77161E07"/>
    <w:rsid w:val="771816DB"/>
    <w:rsid w:val="771D13E7"/>
    <w:rsid w:val="771F6F0D"/>
    <w:rsid w:val="77204A34"/>
    <w:rsid w:val="772C33D8"/>
    <w:rsid w:val="773109EF"/>
    <w:rsid w:val="77334767"/>
    <w:rsid w:val="7735228D"/>
    <w:rsid w:val="77352A49"/>
    <w:rsid w:val="77356731"/>
    <w:rsid w:val="77364257"/>
    <w:rsid w:val="773869FD"/>
    <w:rsid w:val="773D204F"/>
    <w:rsid w:val="77493F8A"/>
    <w:rsid w:val="774A385E"/>
    <w:rsid w:val="774E15A1"/>
    <w:rsid w:val="77514BED"/>
    <w:rsid w:val="7758241F"/>
    <w:rsid w:val="775A1CF3"/>
    <w:rsid w:val="775A7F45"/>
    <w:rsid w:val="775C45C6"/>
    <w:rsid w:val="775F37AE"/>
    <w:rsid w:val="775F730A"/>
    <w:rsid w:val="77612F4D"/>
    <w:rsid w:val="77640DC4"/>
    <w:rsid w:val="776C1A27"/>
    <w:rsid w:val="776C7C79"/>
    <w:rsid w:val="7772528F"/>
    <w:rsid w:val="77732DB5"/>
    <w:rsid w:val="77737259"/>
    <w:rsid w:val="7778661E"/>
    <w:rsid w:val="778154D2"/>
    <w:rsid w:val="7783749C"/>
    <w:rsid w:val="77843214"/>
    <w:rsid w:val="778E7BEF"/>
    <w:rsid w:val="77950F7E"/>
    <w:rsid w:val="77996CC0"/>
    <w:rsid w:val="779F3BAA"/>
    <w:rsid w:val="77A318EC"/>
    <w:rsid w:val="77A954AE"/>
    <w:rsid w:val="77B238DE"/>
    <w:rsid w:val="77B31048"/>
    <w:rsid w:val="77B747D8"/>
    <w:rsid w:val="77B77146"/>
    <w:rsid w:val="77BA6C36"/>
    <w:rsid w:val="77C6382D"/>
    <w:rsid w:val="77C90C27"/>
    <w:rsid w:val="77D01FB6"/>
    <w:rsid w:val="77D71596"/>
    <w:rsid w:val="77D943DE"/>
    <w:rsid w:val="77DA1086"/>
    <w:rsid w:val="77DE0B76"/>
    <w:rsid w:val="77E12415"/>
    <w:rsid w:val="77E32D64"/>
    <w:rsid w:val="77EB6DF0"/>
    <w:rsid w:val="77EF68E0"/>
    <w:rsid w:val="77F4039A"/>
    <w:rsid w:val="77FC0FFD"/>
    <w:rsid w:val="77FF6014"/>
    <w:rsid w:val="78003B51"/>
    <w:rsid w:val="780D320A"/>
    <w:rsid w:val="78120820"/>
    <w:rsid w:val="78160310"/>
    <w:rsid w:val="781F7644"/>
    <w:rsid w:val="782013CC"/>
    <w:rsid w:val="782D11B6"/>
    <w:rsid w:val="782F4F2E"/>
    <w:rsid w:val="78370287"/>
    <w:rsid w:val="7840713B"/>
    <w:rsid w:val="78414C61"/>
    <w:rsid w:val="784D3606"/>
    <w:rsid w:val="784D7AAA"/>
    <w:rsid w:val="78540E39"/>
    <w:rsid w:val="78542BE7"/>
    <w:rsid w:val="785726D7"/>
    <w:rsid w:val="7864798A"/>
    <w:rsid w:val="78650950"/>
    <w:rsid w:val="78682340"/>
    <w:rsid w:val="786C6182"/>
    <w:rsid w:val="786D5A56"/>
    <w:rsid w:val="78715547"/>
    <w:rsid w:val="7879089F"/>
    <w:rsid w:val="787D213D"/>
    <w:rsid w:val="788B1CC4"/>
    <w:rsid w:val="788C05D2"/>
    <w:rsid w:val="78915BE9"/>
    <w:rsid w:val="7899684C"/>
    <w:rsid w:val="78A07BDA"/>
    <w:rsid w:val="78A23952"/>
    <w:rsid w:val="78A551F0"/>
    <w:rsid w:val="78AD22F7"/>
    <w:rsid w:val="78AF606F"/>
    <w:rsid w:val="78B537F0"/>
    <w:rsid w:val="78B638A1"/>
    <w:rsid w:val="78C25DA2"/>
    <w:rsid w:val="78C338C8"/>
    <w:rsid w:val="78C7160B"/>
    <w:rsid w:val="78CE0BEB"/>
    <w:rsid w:val="78D12489"/>
    <w:rsid w:val="78D15FE5"/>
    <w:rsid w:val="78D67AA0"/>
    <w:rsid w:val="78DD0E2E"/>
    <w:rsid w:val="78E24696"/>
    <w:rsid w:val="78E35D19"/>
    <w:rsid w:val="78E71CAD"/>
    <w:rsid w:val="78E73A5B"/>
    <w:rsid w:val="78E75809"/>
    <w:rsid w:val="78EE4DE9"/>
    <w:rsid w:val="78EF0B61"/>
    <w:rsid w:val="78F32400"/>
    <w:rsid w:val="78F63C9E"/>
    <w:rsid w:val="78F9378E"/>
    <w:rsid w:val="78FA19E0"/>
    <w:rsid w:val="78FB3062"/>
    <w:rsid w:val="78FD6DDA"/>
    <w:rsid w:val="79042279"/>
    <w:rsid w:val="790472E8"/>
    <w:rsid w:val="790E0FE8"/>
    <w:rsid w:val="790F6B0E"/>
    <w:rsid w:val="79102FB2"/>
    <w:rsid w:val="79116D2A"/>
    <w:rsid w:val="791A5BDE"/>
    <w:rsid w:val="7924080B"/>
    <w:rsid w:val="792942E4"/>
    <w:rsid w:val="792A3948"/>
    <w:rsid w:val="792E03F6"/>
    <w:rsid w:val="79330A4E"/>
    <w:rsid w:val="794C1B10"/>
    <w:rsid w:val="7953427B"/>
    <w:rsid w:val="7955321E"/>
    <w:rsid w:val="795A5FDB"/>
    <w:rsid w:val="795B1D53"/>
    <w:rsid w:val="795D50EF"/>
    <w:rsid w:val="79621333"/>
    <w:rsid w:val="796706F8"/>
    <w:rsid w:val="796E7CD8"/>
    <w:rsid w:val="79703A50"/>
    <w:rsid w:val="7972294A"/>
    <w:rsid w:val="79780B57"/>
    <w:rsid w:val="797846B3"/>
    <w:rsid w:val="79784C56"/>
    <w:rsid w:val="79823784"/>
    <w:rsid w:val="79863274"/>
    <w:rsid w:val="79876FEC"/>
    <w:rsid w:val="798B2638"/>
    <w:rsid w:val="799040F2"/>
    <w:rsid w:val="799273D2"/>
    <w:rsid w:val="79931583"/>
    <w:rsid w:val="799B65F3"/>
    <w:rsid w:val="799C2A97"/>
    <w:rsid w:val="799F4335"/>
    <w:rsid w:val="79A24E4F"/>
    <w:rsid w:val="79A27982"/>
    <w:rsid w:val="79A731EA"/>
    <w:rsid w:val="79AE4579"/>
    <w:rsid w:val="79B77147"/>
    <w:rsid w:val="79BA116F"/>
    <w:rsid w:val="79C43D9C"/>
    <w:rsid w:val="79C45B4A"/>
    <w:rsid w:val="79C97604"/>
    <w:rsid w:val="79CB512B"/>
    <w:rsid w:val="79D33FDF"/>
    <w:rsid w:val="79D35D8D"/>
    <w:rsid w:val="79D51B05"/>
    <w:rsid w:val="79D55FA9"/>
    <w:rsid w:val="79D57D57"/>
    <w:rsid w:val="79D833A4"/>
    <w:rsid w:val="79E05470"/>
    <w:rsid w:val="79E32474"/>
    <w:rsid w:val="79E93803"/>
    <w:rsid w:val="79ED32F3"/>
    <w:rsid w:val="79ED50A1"/>
    <w:rsid w:val="79F00F06"/>
    <w:rsid w:val="79F24465"/>
    <w:rsid w:val="79F53F55"/>
    <w:rsid w:val="79F91C98"/>
    <w:rsid w:val="79FC7092"/>
    <w:rsid w:val="79FF3026"/>
    <w:rsid w:val="7A0F3269"/>
    <w:rsid w:val="7A106FE1"/>
    <w:rsid w:val="7A146AD1"/>
    <w:rsid w:val="7A173ECC"/>
    <w:rsid w:val="7A1C5986"/>
    <w:rsid w:val="7A232871"/>
    <w:rsid w:val="7A2465E9"/>
    <w:rsid w:val="7A262361"/>
    <w:rsid w:val="7A265A06"/>
    <w:rsid w:val="7A2A00A3"/>
    <w:rsid w:val="7A344A7E"/>
    <w:rsid w:val="7A3A3172"/>
    <w:rsid w:val="7A3C7DD6"/>
    <w:rsid w:val="7A3E3B4E"/>
    <w:rsid w:val="7A4078C7"/>
    <w:rsid w:val="7A41363F"/>
    <w:rsid w:val="7A4F18B8"/>
    <w:rsid w:val="7A5B6234"/>
    <w:rsid w:val="7A604E8D"/>
    <w:rsid w:val="7A613399"/>
    <w:rsid w:val="7A6510DB"/>
    <w:rsid w:val="7A6D7F90"/>
    <w:rsid w:val="7A6F5AB6"/>
    <w:rsid w:val="7A70182E"/>
    <w:rsid w:val="7A747570"/>
    <w:rsid w:val="7A782F0A"/>
    <w:rsid w:val="7A7C01D3"/>
    <w:rsid w:val="7A884DCA"/>
    <w:rsid w:val="7A94376E"/>
    <w:rsid w:val="7A990D85"/>
    <w:rsid w:val="7A9B7857"/>
    <w:rsid w:val="7A9E45ED"/>
    <w:rsid w:val="7A9F0953"/>
    <w:rsid w:val="7AA53BCD"/>
    <w:rsid w:val="7AA5772A"/>
    <w:rsid w:val="7AA86067"/>
    <w:rsid w:val="7AA8721A"/>
    <w:rsid w:val="7AAA2F92"/>
    <w:rsid w:val="7AB12572"/>
    <w:rsid w:val="7AB14320"/>
    <w:rsid w:val="7AB43E11"/>
    <w:rsid w:val="7AB67B89"/>
    <w:rsid w:val="7AB9665D"/>
    <w:rsid w:val="7ABC4A73"/>
    <w:rsid w:val="7ABE6A3D"/>
    <w:rsid w:val="7AC06311"/>
    <w:rsid w:val="7AC57DCC"/>
    <w:rsid w:val="7AC73B44"/>
    <w:rsid w:val="7ACF2E7B"/>
    <w:rsid w:val="7AD718AD"/>
    <w:rsid w:val="7ADB139D"/>
    <w:rsid w:val="7AE53FCA"/>
    <w:rsid w:val="7AEA7832"/>
    <w:rsid w:val="7AEC5358"/>
    <w:rsid w:val="7AED2E7F"/>
    <w:rsid w:val="7AEF6BF7"/>
    <w:rsid w:val="7AF20495"/>
    <w:rsid w:val="7AF34939"/>
    <w:rsid w:val="7AF73C19"/>
    <w:rsid w:val="7AFB559C"/>
    <w:rsid w:val="7B03675F"/>
    <w:rsid w:val="7B0703E4"/>
    <w:rsid w:val="7B0A1C83"/>
    <w:rsid w:val="7B0A3A31"/>
    <w:rsid w:val="7B113011"/>
    <w:rsid w:val="7B1B3E90"/>
    <w:rsid w:val="7B205B7D"/>
    <w:rsid w:val="7B22521E"/>
    <w:rsid w:val="7B241E85"/>
    <w:rsid w:val="7B242D44"/>
    <w:rsid w:val="7B260AB7"/>
    <w:rsid w:val="7B2C5AF3"/>
    <w:rsid w:val="7B2C7E4B"/>
    <w:rsid w:val="7B2E771F"/>
    <w:rsid w:val="7B2F16E9"/>
    <w:rsid w:val="7B3957EC"/>
    <w:rsid w:val="7B3B62E0"/>
    <w:rsid w:val="7B3D3E06"/>
    <w:rsid w:val="7B3E36DA"/>
    <w:rsid w:val="7B42141C"/>
    <w:rsid w:val="7B452BDB"/>
    <w:rsid w:val="7B4909FD"/>
    <w:rsid w:val="7B4C229B"/>
    <w:rsid w:val="7B4C5DF7"/>
    <w:rsid w:val="7B4F58E7"/>
    <w:rsid w:val="7B566C30"/>
    <w:rsid w:val="7B5B428C"/>
    <w:rsid w:val="7B6453BE"/>
    <w:rsid w:val="7B66335D"/>
    <w:rsid w:val="7B690757"/>
    <w:rsid w:val="7B694BFB"/>
    <w:rsid w:val="7B6B0973"/>
    <w:rsid w:val="7B735A7A"/>
    <w:rsid w:val="7B752A38"/>
    <w:rsid w:val="7B783090"/>
    <w:rsid w:val="7B7B048A"/>
    <w:rsid w:val="7B7D4202"/>
    <w:rsid w:val="7B811F45"/>
    <w:rsid w:val="7B825CBD"/>
    <w:rsid w:val="7B876E2F"/>
    <w:rsid w:val="7B8C08E9"/>
    <w:rsid w:val="7B8C5557"/>
    <w:rsid w:val="7B8E01BE"/>
    <w:rsid w:val="7B915F00"/>
    <w:rsid w:val="7B917CAE"/>
    <w:rsid w:val="7B920134"/>
    <w:rsid w:val="7B9559F0"/>
    <w:rsid w:val="7B9854E0"/>
    <w:rsid w:val="7B9B28DB"/>
    <w:rsid w:val="7BA21EBB"/>
    <w:rsid w:val="7BAC2D3A"/>
    <w:rsid w:val="7BAD0F8C"/>
    <w:rsid w:val="7BAD5517"/>
    <w:rsid w:val="7BB265A2"/>
    <w:rsid w:val="7BB67714"/>
    <w:rsid w:val="7BBB055C"/>
    <w:rsid w:val="7BBD4F47"/>
    <w:rsid w:val="7BC167E5"/>
    <w:rsid w:val="7BC2430B"/>
    <w:rsid w:val="7BC55225"/>
    <w:rsid w:val="7BCE51D7"/>
    <w:rsid w:val="7BD1454E"/>
    <w:rsid w:val="7BD227A0"/>
    <w:rsid w:val="7BD55DED"/>
    <w:rsid w:val="7BD6763A"/>
    <w:rsid w:val="7BD81D81"/>
    <w:rsid w:val="7BE349AD"/>
    <w:rsid w:val="7BE929AA"/>
    <w:rsid w:val="7BEB1AB4"/>
    <w:rsid w:val="7BEB5610"/>
    <w:rsid w:val="7BED557B"/>
    <w:rsid w:val="7BF344C5"/>
    <w:rsid w:val="7C024CED"/>
    <w:rsid w:val="7C0B3F04"/>
    <w:rsid w:val="7C0C5586"/>
    <w:rsid w:val="7C153D4C"/>
    <w:rsid w:val="7C1D1542"/>
    <w:rsid w:val="7C1F11D7"/>
    <w:rsid w:val="7C1F175E"/>
    <w:rsid w:val="7C2428D0"/>
    <w:rsid w:val="7C26489A"/>
    <w:rsid w:val="7C2823C0"/>
    <w:rsid w:val="7C2B0102"/>
    <w:rsid w:val="7C2D3E7B"/>
    <w:rsid w:val="7C2E2D54"/>
    <w:rsid w:val="7C2F7BF3"/>
    <w:rsid w:val="7C321491"/>
    <w:rsid w:val="7C32323F"/>
    <w:rsid w:val="7C3D3992"/>
    <w:rsid w:val="7C3D5E57"/>
    <w:rsid w:val="7C3D697F"/>
    <w:rsid w:val="7C4371FA"/>
    <w:rsid w:val="7C4A068A"/>
    <w:rsid w:val="7C52568F"/>
    <w:rsid w:val="7C547659"/>
    <w:rsid w:val="7C605FFE"/>
    <w:rsid w:val="7C611D76"/>
    <w:rsid w:val="7C6A5D38"/>
    <w:rsid w:val="7C6B6751"/>
    <w:rsid w:val="7C752899"/>
    <w:rsid w:val="7C7970C0"/>
    <w:rsid w:val="7C7C095E"/>
    <w:rsid w:val="7C7C44BA"/>
    <w:rsid w:val="7C855A65"/>
    <w:rsid w:val="7C865339"/>
    <w:rsid w:val="7C9A5D73"/>
    <w:rsid w:val="7C9C658A"/>
    <w:rsid w:val="7C9C690A"/>
    <w:rsid w:val="7CA67725"/>
    <w:rsid w:val="7CAD0B17"/>
    <w:rsid w:val="7CB400F8"/>
    <w:rsid w:val="7CB9570E"/>
    <w:rsid w:val="7CC7607D"/>
    <w:rsid w:val="7CCA16C9"/>
    <w:rsid w:val="7CCA791B"/>
    <w:rsid w:val="7CCB71F0"/>
    <w:rsid w:val="7CCD2F68"/>
    <w:rsid w:val="7CD47394"/>
    <w:rsid w:val="7CDB7DC9"/>
    <w:rsid w:val="7CDE5175"/>
    <w:rsid w:val="7CDF675C"/>
    <w:rsid w:val="7CE02C9B"/>
    <w:rsid w:val="7CE56503"/>
    <w:rsid w:val="7CE7227B"/>
    <w:rsid w:val="7CEC5AE4"/>
    <w:rsid w:val="7CF130FA"/>
    <w:rsid w:val="7CF16C56"/>
    <w:rsid w:val="7CF95B0B"/>
    <w:rsid w:val="7CFD1A9F"/>
    <w:rsid w:val="7D007AE0"/>
    <w:rsid w:val="7D11554A"/>
    <w:rsid w:val="7D1172F8"/>
    <w:rsid w:val="7D1D5C9D"/>
    <w:rsid w:val="7D254B52"/>
    <w:rsid w:val="7D2A03BA"/>
    <w:rsid w:val="7D2D3A06"/>
    <w:rsid w:val="7D366D5F"/>
    <w:rsid w:val="7D3905FD"/>
    <w:rsid w:val="7D40373A"/>
    <w:rsid w:val="7D405CBE"/>
    <w:rsid w:val="7D43322A"/>
    <w:rsid w:val="7D442881"/>
    <w:rsid w:val="7D4C0330"/>
    <w:rsid w:val="7D4E40A8"/>
    <w:rsid w:val="7D513B99"/>
    <w:rsid w:val="7D5D42EC"/>
    <w:rsid w:val="7D625DA6"/>
    <w:rsid w:val="7D6618B3"/>
    <w:rsid w:val="7D6733BC"/>
    <w:rsid w:val="7D6E474B"/>
    <w:rsid w:val="7D7C30CE"/>
    <w:rsid w:val="7D7D498E"/>
    <w:rsid w:val="7D8555F0"/>
    <w:rsid w:val="7D9D6DDE"/>
    <w:rsid w:val="7DA243F4"/>
    <w:rsid w:val="7DA24D78"/>
    <w:rsid w:val="7DA43CC8"/>
    <w:rsid w:val="7DA71A0B"/>
    <w:rsid w:val="7DA86637"/>
    <w:rsid w:val="7DB14637"/>
    <w:rsid w:val="7DBA173E"/>
    <w:rsid w:val="7DBB4E70"/>
    <w:rsid w:val="7DC9372F"/>
    <w:rsid w:val="7DCE343B"/>
    <w:rsid w:val="7DD00F61"/>
    <w:rsid w:val="7DD16A88"/>
    <w:rsid w:val="7DD345AE"/>
    <w:rsid w:val="7DD5380B"/>
    <w:rsid w:val="7DD745C1"/>
    <w:rsid w:val="7DDA3B8E"/>
    <w:rsid w:val="7DDC7906"/>
    <w:rsid w:val="7DE06CCB"/>
    <w:rsid w:val="7DE22A43"/>
    <w:rsid w:val="7DE71E07"/>
    <w:rsid w:val="7DE95B7F"/>
    <w:rsid w:val="7DF10ED8"/>
    <w:rsid w:val="7DF12C86"/>
    <w:rsid w:val="7DF509C8"/>
    <w:rsid w:val="7DF74740"/>
    <w:rsid w:val="7DF84014"/>
    <w:rsid w:val="7DFA7D8C"/>
    <w:rsid w:val="7E01736D"/>
    <w:rsid w:val="7E097FCF"/>
    <w:rsid w:val="7E0B01EB"/>
    <w:rsid w:val="7E10135E"/>
    <w:rsid w:val="7E11383B"/>
    <w:rsid w:val="7E12157A"/>
    <w:rsid w:val="7E156974"/>
    <w:rsid w:val="7E1626EC"/>
    <w:rsid w:val="7E1A042F"/>
    <w:rsid w:val="7E1A21DD"/>
    <w:rsid w:val="7E215319"/>
    <w:rsid w:val="7E3A287F"/>
    <w:rsid w:val="7E3A63DB"/>
    <w:rsid w:val="7E3E411D"/>
    <w:rsid w:val="7E411118"/>
    <w:rsid w:val="7E417769"/>
    <w:rsid w:val="7E441218"/>
    <w:rsid w:val="7E464D80"/>
    <w:rsid w:val="7E484F9C"/>
    <w:rsid w:val="7E4B683A"/>
    <w:rsid w:val="7E4D25B2"/>
    <w:rsid w:val="7E512984"/>
    <w:rsid w:val="7E521976"/>
    <w:rsid w:val="7E5356EF"/>
    <w:rsid w:val="7E553215"/>
    <w:rsid w:val="7E582D05"/>
    <w:rsid w:val="7E584AB3"/>
    <w:rsid w:val="7E5C0A47"/>
    <w:rsid w:val="7E5C27F5"/>
    <w:rsid w:val="7E5E656D"/>
    <w:rsid w:val="7E5F4093"/>
    <w:rsid w:val="7E6843A8"/>
    <w:rsid w:val="7E6873EC"/>
    <w:rsid w:val="7E6F077A"/>
    <w:rsid w:val="7E6F0F3C"/>
    <w:rsid w:val="7E7318ED"/>
    <w:rsid w:val="7E780C15"/>
    <w:rsid w:val="7E7A0C20"/>
    <w:rsid w:val="7E7B74DF"/>
    <w:rsid w:val="7E7E276B"/>
    <w:rsid w:val="7E8458A8"/>
    <w:rsid w:val="7E865AC4"/>
    <w:rsid w:val="7E885398"/>
    <w:rsid w:val="7E8A55B4"/>
    <w:rsid w:val="7E90249F"/>
    <w:rsid w:val="7E953F59"/>
    <w:rsid w:val="7E991353"/>
    <w:rsid w:val="7E9C52E7"/>
    <w:rsid w:val="7E9E2E0E"/>
    <w:rsid w:val="7E9F0934"/>
    <w:rsid w:val="7E9F26E2"/>
    <w:rsid w:val="7EA23005"/>
    <w:rsid w:val="7EA321D2"/>
    <w:rsid w:val="7EAF501B"/>
    <w:rsid w:val="7EB22415"/>
    <w:rsid w:val="7EB24D50"/>
    <w:rsid w:val="7EBE525E"/>
    <w:rsid w:val="7EBF4B32"/>
    <w:rsid w:val="7EC34622"/>
    <w:rsid w:val="7EC46660"/>
    <w:rsid w:val="7ECF746B"/>
    <w:rsid w:val="7EDB5E10"/>
    <w:rsid w:val="7EE06F82"/>
    <w:rsid w:val="7EE5424C"/>
    <w:rsid w:val="7EE60311"/>
    <w:rsid w:val="7EE66563"/>
    <w:rsid w:val="7EEA7E01"/>
    <w:rsid w:val="7EEF3669"/>
    <w:rsid w:val="7EF96296"/>
    <w:rsid w:val="7EFB0260"/>
    <w:rsid w:val="7EFC5D86"/>
    <w:rsid w:val="7F062761"/>
    <w:rsid w:val="7F0709B3"/>
    <w:rsid w:val="7F0D7F93"/>
    <w:rsid w:val="7F0F5AB9"/>
    <w:rsid w:val="7F0F7867"/>
    <w:rsid w:val="7F17496E"/>
    <w:rsid w:val="7F18132D"/>
    <w:rsid w:val="7F185CE3"/>
    <w:rsid w:val="7F1B13EF"/>
    <w:rsid w:val="7F1B445E"/>
    <w:rsid w:val="7F1C3A35"/>
    <w:rsid w:val="7F1E7AAB"/>
    <w:rsid w:val="7F272E03"/>
    <w:rsid w:val="7F2A46A1"/>
    <w:rsid w:val="7F2C666B"/>
    <w:rsid w:val="7F2D4191"/>
    <w:rsid w:val="7F2F3A66"/>
    <w:rsid w:val="7F3D251C"/>
    <w:rsid w:val="7F405C73"/>
    <w:rsid w:val="7F435763"/>
    <w:rsid w:val="7F4E65E2"/>
    <w:rsid w:val="7F617468"/>
    <w:rsid w:val="7F632DA8"/>
    <w:rsid w:val="7F6556D9"/>
    <w:rsid w:val="7F721BA4"/>
    <w:rsid w:val="7F74591C"/>
    <w:rsid w:val="7F7802D7"/>
    <w:rsid w:val="7F78097A"/>
    <w:rsid w:val="7F792F33"/>
    <w:rsid w:val="7F8518D8"/>
    <w:rsid w:val="7F8E0880"/>
    <w:rsid w:val="7F8F74B1"/>
    <w:rsid w:val="7F9069A6"/>
    <w:rsid w:val="7F9A1827"/>
    <w:rsid w:val="7F9F3B25"/>
    <w:rsid w:val="7FA53D28"/>
    <w:rsid w:val="7FAC155A"/>
    <w:rsid w:val="7FAC3308"/>
    <w:rsid w:val="7FAF4BA7"/>
    <w:rsid w:val="7FB328E9"/>
    <w:rsid w:val="7FB421BD"/>
    <w:rsid w:val="7FBC10CA"/>
    <w:rsid w:val="7FC44AF6"/>
    <w:rsid w:val="7FC93EBA"/>
    <w:rsid w:val="7FD25273"/>
    <w:rsid w:val="7FD4460D"/>
    <w:rsid w:val="7FD665D7"/>
    <w:rsid w:val="7FD72C20"/>
    <w:rsid w:val="7FE01204"/>
    <w:rsid w:val="7FE54E92"/>
    <w:rsid w:val="7FE74340"/>
    <w:rsid w:val="7FEA3E31"/>
    <w:rsid w:val="7FF32CE5"/>
    <w:rsid w:val="7FF8479F"/>
    <w:rsid w:val="7FF86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4"/>
    <w:qFormat/>
    <w:uiPriority w:val="0"/>
    <w:pPr>
      <w:adjustRightInd w:val="0"/>
      <w:snapToGrid w:val="0"/>
      <w:spacing w:after="200" w:afterLines="0"/>
    </w:pPr>
    <w:rPr>
      <w:rFonts w:ascii="Tahoma" w:hAnsi="Tahoma" w:eastAsia="微软雅黑" w:cstheme="minorBidi"/>
      <w:sz w:val="22"/>
      <w:szCs w:val="22"/>
      <w:lang w:val="en-US" w:eastAsia="zh-CN" w:bidi="ar-SA"/>
    </w:rPr>
  </w:style>
  <w:style w:type="paragraph" w:styleId="4">
    <w:name w:val="heading 1"/>
    <w:basedOn w:val="1"/>
    <w:next w:val="1"/>
    <w:qFormat/>
    <w:uiPriority w:val="0"/>
    <w:pPr>
      <w:keepNext/>
      <w:keepLines/>
      <w:spacing w:before="40" w:after="40"/>
      <w:jc w:val="center"/>
      <w:outlineLvl w:val="0"/>
    </w:pPr>
    <w:rPr>
      <w:rFonts w:ascii="Calibri" w:hAnsi="Calibri" w:cs="Times New Roman"/>
      <w:b/>
      <w:kern w:val="44"/>
      <w:sz w:val="30"/>
    </w:rPr>
  </w:style>
  <w:style w:type="paragraph" w:styleId="5">
    <w:name w:val="heading 2"/>
    <w:basedOn w:val="1"/>
    <w:next w:val="1"/>
    <w:unhideWhenUsed/>
    <w:qFormat/>
    <w:uiPriority w:val="0"/>
    <w:pPr>
      <w:keepNext/>
      <w:keepLines/>
      <w:ind w:firstLine="0" w:firstLineChars="0"/>
      <w:jc w:val="left"/>
      <w:outlineLvl w:val="1"/>
    </w:pPr>
    <w:rPr>
      <w:rFonts w:ascii="Times New Roman" w:hAnsi="Times New Roman" w:cs="Times New Roman"/>
      <w:b/>
      <w:bCs/>
      <w:szCs w:val="32"/>
    </w:rPr>
  </w:style>
  <w:style w:type="paragraph" w:styleId="6">
    <w:name w:val="heading 3"/>
    <w:basedOn w:val="1"/>
    <w:next w:val="7"/>
    <w:semiHidden/>
    <w:unhideWhenUsed/>
    <w:qFormat/>
    <w:uiPriority w:val="0"/>
    <w:pPr>
      <w:keepNext/>
      <w:keepLines/>
      <w:outlineLvl w:val="2"/>
    </w:pPr>
    <w:rPr>
      <w:rFonts w:ascii="Times New Roman" w:hAnsi="Times New Roman" w:eastAsia="宋体" w:cs="Times New Roman"/>
      <w:b/>
      <w:bCs/>
      <w:sz w:val="28"/>
      <w:szCs w:val="32"/>
    </w:rPr>
  </w:style>
  <w:style w:type="paragraph" w:styleId="8">
    <w:name w:val="heading 4"/>
    <w:basedOn w:val="1"/>
    <w:next w:val="1"/>
    <w:unhideWhenUsed/>
    <w:qFormat/>
    <w:uiPriority w:val="0"/>
    <w:pPr>
      <w:keepNext/>
      <w:keepLines/>
      <w:spacing w:before="280" w:after="290" w:line="376" w:lineRule="auto"/>
      <w:outlineLvl w:val="3"/>
    </w:pPr>
    <w:rPr>
      <w:rFonts w:ascii="仿宋" w:hAnsi="仿宋" w:eastAsia="仿宋"/>
      <w:szCs w:val="28"/>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snapToGrid w:val="0"/>
      <w:spacing w:before="60" w:after="160" w:line="259" w:lineRule="auto"/>
      <w:ind w:right="113"/>
    </w:pPr>
    <w:rPr>
      <w:kern w:val="0"/>
      <w:sz w:val="18"/>
      <w:szCs w:val="20"/>
    </w:rPr>
  </w:style>
  <w:style w:type="paragraph" w:customStyle="1" w:styleId="3">
    <w:name w:val="xl27"/>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rPr>
  </w:style>
  <w:style w:type="paragraph" w:styleId="7">
    <w:name w:val="Normal Indent"/>
    <w:basedOn w:val="1"/>
    <w:qFormat/>
    <w:uiPriority w:val="0"/>
    <w:pPr>
      <w:ind w:firstLine="420" w:firstLineChars="200"/>
    </w:pPr>
  </w:style>
  <w:style w:type="paragraph" w:styleId="9">
    <w:name w:val="annotation text"/>
    <w:basedOn w:val="1"/>
    <w:qFormat/>
    <w:uiPriority w:val="0"/>
    <w:pPr>
      <w:jc w:val="left"/>
    </w:pPr>
  </w:style>
  <w:style w:type="paragraph" w:styleId="10">
    <w:name w:val="Block Text"/>
    <w:basedOn w:val="1"/>
    <w:next w:val="2"/>
    <w:qFormat/>
    <w:uiPriority w:val="0"/>
    <w:pPr>
      <w:spacing w:afterLines="0" w:afterAutospacing="0" w:line="360" w:lineRule="auto"/>
      <w:ind w:left="0" w:leftChars="0" w:rightChars="0"/>
    </w:pPr>
  </w:style>
  <w:style w:type="paragraph" w:styleId="11">
    <w:name w:val="Plain Text"/>
    <w:basedOn w:val="1"/>
    <w:qFormat/>
    <w:uiPriority w:val="0"/>
    <w:rPr>
      <w:rFonts w:ascii="宋体" w:hAnsi="Courier New"/>
    </w:rPr>
  </w:style>
  <w:style w:type="paragraph" w:styleId="12">
    <w:name w:val="List Bullet 5"/>
    <w:basedOn w:val="1"/>
    <w:qFormat/>
    <w:uiPriority w:val="0"/>
    <w:pPr>
      <w:numPr>
        <w:ilvl w:val="0"/>
        <w:numId w:val="1"/>
      </w:numPr>
    </w:pPr>
  </w:style>
  <w:style w:type="paragraph" w:styleId="13">
    <w:name w:val="Body Text Indent 2"/>
    <w:basedOn w:val="1"/>
    <w:next w:val="1"/>
    <w:qFormat/>
    <w:uiPriority w:val="0"/>
    <w:pPr>
      <w:spacing w:after="120" w:line="480" w:lineRule="auto"/>
      <w:ind w:left="420" w:leftChars="200" w:firstLine="200" w:firstLineChars="200"/>
    </w:pPr>
    <w:rPr>
      <w:rFonts w:ascii="Times New Roman" w:hAnsi="Times New Roman" w:cs="Times New Roman"/>
      <w:kern w:val="2"/>
    </w:rPr>
  </w:style>
  <w:style w:type="paragraph" w:styleId="14">
    <w:name w:val="footer"/>
    <w:basedOn w:val="1"/>
    <w:qFormat/>
    <w:uiPriority w:val="0"/>
    <w:pPr>
      <w:tabs>
        <w:tab w:val="center" w:pos="4153"/>
        <w:tab w:val="right" w:pos="8306"/>
      </w:tabs>
    </w:pPr>
    <w:rPr>
      <w:rFonts w:ascii="Tahoma" w:hAnsi="Tahoma"/>
      <w:sz w:val="18"/>
      <w:szCs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0"/>
  </w:style>
  <w:style w:type="paragraph" w:styleId="17">
    <w:name w:val="Body Text 2"/>
    <w:basedOn w:val="1"/>
    <w:next w:val="1"/>
    <w:qFormat/>
    <w:uiPriority w:val="0"/>
    <w:pPr>
      <w:spacing w:after="120" w:line="480" w:lineRule="auto"/>
      <w:ind w:firstLine="723"/>
      <w:jc w:val="left"/>
    </w:pPr>
    <w:rPr>
      <w:rFonts w:cs="宋体"/>
    </w:rPr>
  </w:style>
  <w:style w:type="paragraph" w:styleId="18">
    <w:name w:val="Normal (Web)"/>
    <w:basedOn w:val="1"/>
    <w:qFormat/>
    <w:uiPriority w:val="0"/>
    <w:pPr>
      <w:widowControl/>
      <w:spacing w:before="100" w:beforeAutospacing="1" w:after="100" w:afterAutospacing="1"/>
      <w:jc w:val="left"/>
    </w:pPr>
    <w:rPr>
      <w:rFonts w:ascii="宋体" w:hAnsi="宋体"/>
      <w:kern w:val="0"/>
      <w:sz w:val="24"/>
      <w:szCs w:val="20"/>
    </w:rPr>
  </w:style>
  <w:style w:type="table" w:styleId="20">
    <w:name w:val="Table Grid"/>
    <w:basedOn w:val="1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Emphasis"/>
    <w:basedOn w:val="21"/>
    <w:qFormat/>
    <w:uiPriority w:val="0"/>
    <w:rPr>
      <w:i/>
    </w:rPr>
  </w:style>
  <w:style w:type="character" w:styleId="24">
    <w:name w:val="Hyperlink"/>
    <w:basedOn w:val="21"/>
    <w:qFormat/>
    <w:uiPriority w:val="0"/>
    <w:rPr>
      <w:color w:val="0000FF"/>
      <w:u w:val="single"/>
    </w:rPr>
  </w:style>
  <w:style w:type="paragraph" w:customStyle="1" w:styleId="25">
    <w:name w:val="Default"/>
    <w:basedOn w:val="26"/>
    <w:next w:val="1"/>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26">
    <w:name w:val="文本"/>
    <w:basedOn w:val="1"/>
    <w:next w:val="1"/>
    <w:qFormat/>
    <w:uiPriority w:val="0"/>
    <w:pPr>
      <w:autoSpaceDE w:val="0"/>
      <w:autoSpaceDN w:val="0"/>
      <w:ind w:firstLine="480"/>
    </w:pPr>
    <w:rPr>
      <w:rFonts w:cs="Times New Roman"/>
      <w:szCs w:val="24"/>
      <w:lang w:val="zh-CN"/>
    </w:rPr>
  </w:style>
  <w:style w:type="paragraph" w:customStyle="1" w:styleId="27">
    <w:name w:val="正文1"/>
    <w:basedOn w:val="1"/>
    <w:qFormat/>
    <w:uiPriority w:val="0"/>
    <w:pPr>
      <w:spacing w:line="520" w:lineRule="exact"/>
      <w:ind w:firstLine="648" w:firstLineChars="200"/>
    </w:pPr>
    <w:rPr>
      <w:rFonts w:ascii="Times New Roman" w:hAnsi="Times New Roman" w:eastAsia="宋体" w:cs="Times New Roman"/>
      <w:sz w:val="24"/>
      <w:szCs w:val="24"/>
    </w:rPr>
  </w:style>
  <w:style w:type="paragraph" w:customStyle="1" w:styleId="28">
    <w:name w:val="列出段落"/>
    <w:basedOn w:val="1"/>
    <w:qFormat/>
    <w:uiPriority w:val="0"/>
    <w:pPr>
      <w:widowControl w:val="0"/>
      <w:adjustRightInd/>
      <w:snapToGrid/>
      <w:spacing w:after="0" w:afterLines="0"/>
      <w:ind w:firstLine="420" w:firstLineChars="200"/>
      <w:jc w:val="both"/>
    </w:pPr>
    <w:rPr>
      <w:rFonts w:ascii="Times New Roman" w:hAnsi="Times New Roman" w:eastAsia="宋体"/>
      <w:kern w:val="2"/>
      <w:sz w:val="21"/>
      <w:szCs w:val="20"/>
    </w:rPr>
  </w:style>
  <w:style w:type="paragraph" w:customStyle="1" w:styleId="29">
    <w:name w:val="表格内文字"/>
    <w:basedOn w:val="1"/>
    <w:link w:val="32"/>
    <w:qFormat/>
    <w:uiPriority w:val="0"/>
    <w:pPr>
      <w:tabs>
        <w:tab w:val="left" w:pos="0"/>
      </w:tabs>
      <w:adjustRightInd w:val="0"/>
      <w:snapToGrid w:val="0"/>
      <w:spacing w:line="240" w:lineRule="auto"/>
      <w:ind w:left="0" w:right="0" w:firstLine="0" w:firstLineChars="0"/>
      <w:jc w:val="center"/>
    </w:pPr>
    <w:rPr>
      <w:rFonts w:ascii="Times New Roman" w:hAnsi="Times New Roman" w:eastAsia="宋体"/>
      <w:snapToGrid w:val="0"/>
      <w:kern w:val="0"/>
      <w:sz w:val="21"/>
      <w:szCs w:val="21"/>
    </w:rPr>
  </w:style>
  <w:style w:type="paragraph" w:customStyle="1" w:styleId="30">
    <w:name w:val="表格"/>
    <w:basedOn w:val="31"/>
    <w:next w:val="1"/>
    <w:qFormat/>
    <w:uiPriority w:val="0"/>
    <w:pPr>
      <w:spacing w:line="240" w:lineRule="auto"/>
      <w:ind w:firstLine="0" w:firstLineChars="0"/>
      <w:jc w:val="center"/>
    </w:pPr>
    <w:rPr>
      <w:rFonts w:ascii="Times New Roman" w:hAnsi="Times New Roman" w:eastAsia="宋体"/>
      <w:spacing w:val="-11"/>
      <w:szCs w:val="21"/>
    </w:rPr>
  </w:style>
  <w:style w:type="paragraph" w:customStyle="1" w:styleId="31">
    <w:name w:val="表头"/>
    <w:basedOn w:val="1"/>
    <w:next w:val="30"/>
    <w:qFormat/>
    <w:uiPriority w:val="0"/>
    <w:pPr>
      <w:adjustRightInd w:val="0"/>
      <w:spacing w:line="240" w:lineRule="auto"/>
      <w:ind w:firstLine="0" w:firstLineChars="0"/>
      <w:jc w:val="center"/>
      <w:textAlignment w:val="baseline"/>
    </w:pPr>
    <w:rPr>
      <w:rFonts w:ascii="Times New Roman" w:hAnsi="Times New Roman" w:eastAsia="宋体"/>
      <w:b/>
      <w:bCs/>
      <w:spacing w:val="-11"/>
      <w:kern w:val="0"/>
      <w:sz w:val="21"/>
      <w:szCs w:val="21"/>
    </w:rPr>
  </w:style>
  <w:style w:type="character" w:customStyle="1" w:styleId="32">
    <w:name w:val="表格内文字 Char"/>
    <w:link w:val="29"/>
    <w:qFormat/>
    <w:uiPriority w:val="0"/>
    <w:rPr>
      <w:rFonts w:ascii="Times New Roman" w:hAnsi="Times New Roman" w:eastAsia="宋体"/>
      <w:snapToGrid w:val="0"/>
      <w:kern w:val="0"/>
      <w:sz w:val="21"/>
      <w:szCs w:val="21"/>
    </w:rPr>
  </w:style>
  <w:style w:type="paragraph" w:customStyle="1" w:styleId="33">
    <w:name w:val="Body Text Indent 2"/>
    <w:basedOn w:val="1"/>
    <w:qFormat/>
    <w:uiPriority w:val="0"/>
    <w:pPr>
      <w:widowControl w:val="0"/>
      <w:snapToGrid/>
      <w:spacing w:after="0" w:afterLines="0" w:line="312" w:lineRule="atLeast"/>
      <w:ind w:firstLine="570"/>
      <w:jc w:val="distribute"/>
      <w:textAlignment w:val="baseline"/>
    </w:pPr>
    <w:rPr>
      <w:rFonts w:ascii="Times New Roman" w:hAnsi="Times New Roman" w:eastAsia="仿宋_GB2312" w:cs="Times New Roman"/>
      <w:sz w:val="28"/>
      <w:szCs w:val="20"/>
    </w:rPr>
  </w:style>
  <w:style w:type="character" w:customStyle="1" w:styleId="34">
    <w:name w:val="NormalCharacter"/>
    <w:link w:val="1"/>
    <w:semiHidden/>
    <w:qFormat/>
    <w:uiPriority w:val="0"/>
    <w:rPr>
      <w:rFonts w:ascii="Tahoma" w:hAnsi="Tahoma" w:eastAsia="微软雅黑" w:cstheme="minorBidi"/>
      <w:sz w:val="22"/>
      <w:szCs w:val="22"/>
      <w:lang w:val="en-US" w:eastAsia="zh-CN" w:bidi="ar-SA"/>
    </w:rPr>
  </w:style>
  <w:style w:type="character" w:customStyle="1" w:styleId="35">
    <w:name w:val="font71"/>
    <w:basedOn w:val="21"/>
    <w:qFormat/>
    <w:uiPriority w:val="0"/>
    <w:rPr>
      <w:rFonts w:hint="default" w:ascii="Times New Roman" w:hAnsi="Times New Roman" w:cs="Times New Roman"/>
      <w:b/>
      <w:bCs/>
      <w:color w:val="000000"/>
      <w:sz w:val="18"/>
      <w:szCs w:val="18"/>
      <w:u w:val="none"/>
    </w:rPr>
  </w:style>
  <w:style w:type="paragraph" w:customStyle="1" w:styleId="36">
    <w:name w:val="无间隔1"/>
    <w:unhideWhenUsed/>
    <w:qFormat/>
    <w:uiPriority w:val="0"/>
    <w:pPr>
      <w:jc w:val="center"/>
    </w:pPr>
    <w:rPr>
      <w:rFonts w:hint="eastAsia" w:ascii="Times New Roman" w:hAnsi="Times New Roman" w:eastAsia="宋体" w:cs="Times New Roman"/>
      <w:sz w:val="28"/>
      <w:lang w:val="en-US" w:eastAsia="zh-CN" w:bidi="ar-SA"/>
    </w:rPr>
  </w:style>
  <w:style w:type="character" w:customStyle="1" w:styleId="37">
    <w:name w:val="font41"/>
    <w:basedOn w:val="21"/>
    <w:qFormat/>
    <w:uiPriority w:val="0"/>
    <w:rPr>
      <w:rFonts w:hint="default" w:ascii="Times New Roman" w:hAnsi="Times New Roman" w:cs="Times New Roman"/>
      <w:color w:val="000000"/>
      <w:sz w:val="21"/>
      <w:szCs w:val="21"/>
      <w:u w:val="none"/>
    </w:rPr>
  </w:style>
  <w:style w:type="paragraph" w:styleId="38">
    <w:name w:val="No Spacing"/>
    <w:qFormat/>
    <w:uiPriority w:val="1"/>
    <w:pPr>
      <w:widowControl w:val="0"/>
      <w:ind w:firstLine="200" w:firstLineChars="200"/>
      <w:jc w:val="both"/>
    </w:pPr>
    <w:rPr>
      <w:rFonts w:ascii="Times New Roman" w:hAnsi="Times New Roman" w:eastAsia="仿宋_GB2312" w:cs="Times New Roman"/>
      <w:kern w:val="2"/>
      <w:sz w:val="28"/>
      <w:szCs w:val="22"/>
      <w:lang w:val="en-US" w:eastAsia="zh-CN" w:bidi="ar-SA"/>
    </w:rPr>
  </w:style>
  <w:style w:type="paragraph" w:customStyle="1" w:styleId="39">
    <w:name w:val="WPS Plain"/>
    <w:qFormat/>
    <w:uiPriority w:val="0"/>
    <w:rPr>
      <w:rFonts w:ascii="Times New Roman" w:hAnsi="Times New Roman" w:eastAsia="宋体" w:cs="Times New Roman"/>
      <w:lang w:val="en-US" w:eastAsia="zh-CN" w:bidi="ar-SA"/>
    </w:rPr>
  </w:style>
  <w:style w:type="character" w:customStyle="1" w:styleId="40">
    <w:name w:val="font11"/>
    <w:basedOn w:val="21"/>
    <w:qFormat/>
    <w:uiPriority w:val="0"/>
    <w:rPr>
      <w:rFonts w:hint="eastAsia" w:ascii="宋体" w:hAnsi="宋体" w:eastAsia="宋体" w:cs="宋体"/>
      <w:color w:val="FF0000"/>
      <w:sz w:val="21"/>
      <w:szCs w:val="21"/>
      <w:u w:val="none"/>
    </w:rPr>
  </w:style>
  <w:style w:type="character" w:customStyle="1" w:styleId="41">
    <w:name w:val="font31"/>
    <w:basedOn w:val="21"/>
    <w:qFormat/>
    <w:uiPriority w:val="0"/>
    <w:rPr>
      <w:rFonts w:hint="default" w:ascii="Times New Roman" w:hAnsi="Times New Roman" w:cs="Times New Roman"/>
      <w:color w:val="FF0000"/>
      <w:sz w:val="21"/>
      <w:szCs w:val="21"/>
      <w:u w:val="none"/>
    </w:rPr>
  </w:style>
  <w:style w:type="paragraph" w:customStyle="1" w:styleId="42">
    <w:name w:val="WPSOffice手动目录 1"/>
    <w:qFormat/>
    <w:uiPriority w:val="0"/>
    <w:pPr>
      <w:ind w:leftChars="0"/>
    </w:pPr>
    <w:rPr>
      <w:rFonts w:ascii="Times New Roman" w:hAnsi="Times New Roman" w:eastAsia="宋体" w:cs="Times New Roman"/>
      <w:sz w:val="20"/>
      <w:szCs w:val="20"/>
    </w:rPr>
  </w:style>
  <w:style w:type="character" w:customStyle="1" w:styleId="43">
    <w:name w:val="page number"/>
    <w:basedOn w:val="21"/>
    <w:qFormat/>
    <w:uiPriority w:val="0"/>
  </w:style>
  <w:style w:type="paragraph" w:customStyle="1" w:styleId="44">
    <w:name w:val="Normal (Web)"/>
    <w:basedOn w:val="1"/>
    <w:qFormat/>
    <w:uiPriority w:val="0"/>
    <w:pPr>
      <w:adjustRightInd/>
      <w:snapToGrid/>
      <w:spacing w:before="100" w:beforeLines="0" w:beforeAutospacing="1" w:after="100" w:afterLines="0" w:afterAutospacing="1"/>
    </w:pPr>
    <w:rPr>
      <w:rFonts w:ascii="宋体" w:hAnsi="宋体" w:eastAsia="宋体" w:cs="宋体"/>
      <w:sz w:val="24"/>
      <w:szCs w:val="24"/>
    </w:rPr>
  </w:style>
  <w:style w:type="paragraph" w:customStyle="1" w:styleId="45">
    <w:name w:val="表内文字"/>
    <w:basedOn w:val="1"/>
    <w:qFormat/>
    <w:uiPriority w:val="0"/>
    <w:pPr>
      <w:widowControl w:val="0"/>
      <w:spacing w:line="240" w:lineRule="auto"/>
      <w:ind w:firstLine="0" w:firstLineChars="0"/>
      <w:jc w:val="center"/>
    </w:pPr>
    <w:rPr>
      <w:rFonts w:cs="Times New Roman"/>
      <w:iCs/>
      <w:sz w:val="21"/>
      <w:szCs w:val="21"/>
    </w:rPr>
  </w:style>
  <w:style w:type="paragraph" w:customStyle="1" w:styleId="46">
    <w:name w:val="Table Paragraph"/>
    <w:basedOn w:val="1"/>
    <w:qFormat/>
    <w:uiPriority w:val="1"/>
    <w:pPr>
      <w:jc w:val="center"/>
    </w:pPr>
  </w:style>
  <w:style w:type="paragraph" w:customStyle="1" w:styleId="47">
    <w:name w:val="表格字体"/>
    <w:basedOn w:val="1"/>
    <w:next w:val="1"/>
    <w:qFormat/>
    <w:uiPriority w:val="0"/>
    <w:pPr>
      <w:adjustRightInd w:val="0"/>
      <w:spacing w:line="300" w:lineRule="exact"/>
      <w:jc w:val="center"/>
    </w:pPr>
    <w:rPr>
      <w:color w:val="000000"/>
      <w:sz w:val="18"/>
    </w:rPr>
  </w:style>
  <w:style w:type="paragraph" w:customStyle="1" w:styleId="48">
    <w:name w:val="表标题"/>
    <w:next w:val="1"/>
    <w:qFormat/>
    <w:uiPriority w:val="0"/>
    <w:pPr>
      <w:spacing w:before="60"/>
      <w:jc w:val="center"/>
    </w:pPr>
    <w:rPr>
      <w:rFonts w:ascii="Times New Roman" w:hAnsi="Times New Roman" w:eastAsia="宋体" w:cs="Times New Roman"/>
      <w:b/>
      <w:kern w:val="2"/>
      <w:sz w:val="21"/>
      <w:szCs w:val="24"/>
      <w:lang w:val="en-US" w:eastAsia="zh-CN" w:bidi="ar-SA"/>
    </w:rPr>
  </w:style>
  <w:style w:type="character" w:customStyle="1" w:styleId="49">
    <w:name w:val="font01"/>
    <w:basedOn w:val="21"/>
    <w:qFormat/>
    <w:uiPriority w:val="0"/>
    <w:rPr>
      <w:rFonts w:ascii="楷体" w:hAnsi="楷体" w:eastAsia="楷体" w:cs="楷体"/>
      <w:color w:val="000000"/>
      <w:sz w:val="24"/>
      <w:szCs w:val="24"/>
      <w:u w:val="none"/>
    </w:rPr>
  </w:style>
  <w:style w:type="paragraph" w:customStyle="1" w:styleId="50">
    <w:name w:val="正文_11"/>
    <w:qFormat/>
    <w:uiPriority w:val="0"/>
    <w:pPr>
      <w:widowControl w:val="0"/>
      <w:jc w:val="both"/>
    </w:pPr>
    <w:rPr>
      <w:rFonts w:ascii="Calibri" w:hAnsi="Calibri" w:eastAsia="宋体" w:cs="Times New Roman"/>
      <w:kern w:val="2"/>
      <w:sz w:val="21"/>
      <w:lang w:val="en-US" w:eastAsia="zh-CN" w:bidi="ar-SA"/>
    </w:rPr>
  </w:style>
  <w:style w:type="paragraph" w:customStyle="1" w:styleId="51">
    <w:name w:val="普通(网站)1"/>
    <w:basedOn w:val="1"/>
    <w:qFormat/>
    <w:uiPriority w:val="0"/>
    <w:pPr>
      <w:adjustRightInd/>
      <w:snapToGrid/>
      <w:spacing w:beforeAutospacing="1" w:afterAutospacing="1"/>
    </w:pPr>
    <w:rPr>
      <w:rFonts w:ascii="宋体" w:hAnsi="宋体" w:eastAsia="宋体" w:cs="宋体"/>
      <w:sz w:val="24"/>
      <w:szCs w:val="24"/>
    </w:rPr>
  </w:style>
  <w:style w:type="paragraph" w:styleId="52">
    <w:name w:val="List Paragraph"/>
    <w:basedOn w:val="1"/>
    <w:qFormat/>
    <w:uiPriority w:val="99"/>
    <w:pPr>
      <w:ind w:firstLine="420"/>
    </w:pPr>
  </w:style>
  <w:style w:type="paragraph" w:customStyle="1" w:styleId="53">
    <w:name w:val="A标准格式"/>
    <w:basedOn w:val="1"/>
    <w:qFormat/>
    <w:uiPriority w:val="0"/>
    <w:pPr>
      <w:ind w:firstLine="480"/>
    </w:pPr>
  </w:style>
</w:styles>
</file>

<file path=word/_rels/document.xml.rels><?xml version="1.0" encoding="UTF-8" standalone="yes"?>
<Relationships xmlns="http://schemas.openxmlformats.org/package/2006/relationships"><Relationship Id="rId98" Type="http://schemas.microsoft.com/office/2011/relationships/people" Target="people.xml"/><Relationship Id="rId97" Type="http://schemas.openxmlformats.org/officeDocument/2006/relationships/fontTable" Target="fontTable.xml"/><Relationship Id="rId96" Type="http://schemas.openxmlformats.org/officeDocument/2006/relationships/numbering" Target="numbering.xml"/><Relationship Id="rId95" Type="http://schemas.openxmlformats.org/officeDocument/2006/relationships/customXml" Target="../customXml/item1.xml"/><Relationship Id="rId94" Type="http://schemas.openxmlformats.org/officeDocument/2006/relationships/image" Target="media/image74.png"/><Relationship Id="rId93" Type="http://schemas.openxmlformats.org/officeDocument/2006/relationships/image" Target="media/image73.png"/><Relationship Id="rId92" Type="http://schemas.openxmlformats.org/officeDocument/2006/relationships/image" Target="media/image72.png"/><Relationship Id="rId91" Type="http://schemas.openxmlformats.org/officeDocument/2006/relationships/image" Target="media/image71.png"/><Relationship Id="rId90" Type="http://schemas.openxmlformats.org/officeDocument/2006/relationships/image" Target="media/image70.png"/><Relationship Id="rId9" Type="http://schemas.openxmlformats.org/officeDocument/2006/relationships/footer" Target="footer6.xml"/><Relationship Id="rId89" Type="http://schemas.openxmlformats.org/officeDocument/2006/relationships/image" Target="media/image69.png"/><Relationship Id="rId88" Type="http://schemas.openxmlformats.org/officeDocument/2006/relationships/image" Target="media/image68.png"/><Relationship Id="rId87" Type="http://schemas.openxmlformats.org/officeDocument/2006/relationships/image" Target="media/image67.png"/><Relationship Id="rId86" Type="http://schemas.openxmlformats.org/officeDocument/2006/relationships/image" Target="media/image66.png"/><Relationship Id="rId85" Type="http://schemas.openxmlformats.org/officeDocument/2006/relationships/image" Target="media/image65.png"/><Relationship Id="rId84" Type="http://schemas.openxmlformats.org/officeDocument/2006/relationships/image" Target="media/image64.png"/><Relationship Id="rId83" Type="http://schemas.openxmlformats.org/officeDocument/2006/relationships/image" Target="media/image63.png"/><Relationship Id="rId82" Type="http://schemas.openxmlformats.org/officeDocument/2006/relationships/image" Target="media/image62.png"/><Relationship Id="rId81" Type="http://schemas.openxmlformats.org/officeDocument/2006/relationships/image" Target="media/image61.png"/><Relationship Id="rId80" Type="http://schemas.openxmlformats.org/officeDocument/2006/relationships/image" Target="media/image60.png"/><Relationship Id="rId8" Type="http://schemas.openxmlformats.org/officeDocument/2006/relationships/footer" Target="footer5.xml"/><Relationship Id="rId79" Type="http://schemas.openxmlformats.org/officeDocument/2006/relationships/image" Target="media/image59.png"/><Relationship Id="rId78" Type="http://schemas.openxmlformats.org/officeDocument/2006/relationships/image" Target="media/image58.png"/><Relationship Id="rId77" Type="http://schemas.openxmlformats.org/officeDocument/2006/relationships/image" Target="media/image57.png"/><Relationship Id="rId76" Type="http://schemas.openxmlformats.org/officeDocument/2006/relationships/image" Target="media/image56.png"/><Relationship Id="rId75" Type="http://schemas.openxmlformats.org/officeDocument/2006/relationships/image" Target="media/image55.png"/><Relationship Id="rId74" Type="http://schemas.openxmlformats.org/officeDocument/2006/relationships/image" Target="media/image54.png"/><Relationship Id="rId73" Type="http://schemas.openxmlformats.org/officeDocument/2006/relationships/image" Target="media/image53.png"/><Relationship Id="rId72" Type="http://schemas.openxmlformats.org/officeDocument/2006/relationships/image" Target="media/image52.png"/><Relationship Id="rId71" Type="http://schemas.openxmlformats.org/officeDocument/2006/relationships/image" Target="media/image51.png"/><Relationship Id="rId70" Type="http://schemas.openxmlformats.org/officeDocument/2006/relationships/image" Target="media/image50.png"/><Relationship Id="rId7" Type="http://schemas.openxmlformats.org/officeDocument/2006/relationships/footer" Target="footer4.xml"/><Relationship Id="rId69" Type="http://schemas.openxmlformats.org/officeDocument/2006/relationships/image" Target="media/image49.png"/><Relationship Id="rId68" Type="http://schemas.openxmlformats.org/officeDocument/2006/relationships/image" Target="media/image48.png"/><Relationship Id="rId67" Type="http://schemas.openxmlformats.org/officeDocument/2006/relationships/image" Target="media/image47.png"/><Relationship Id="rId66" Type="http://schemas.openxmlformats.org/officeDocument/2006/relationships/image" Target="media/image46.png"/><Relationship Id="rId65" Type="http://schemas.openxmlformats.org/officeDocument/2006/relationships/image" Target="media/image45.png"/><Relationship Id="rId64" Type="http://schemas.openxmlformats.org/officeDocument/2006/relationships/image" Target="media/image44.png"/><Relationship Id="rId63" Type="http://schemas.openxmlformats.org/officeDocument/2006/relationships/image" Target="media/image43.png"/><Relationship Id="rId62" Type="http://schemas.openxmlformats.org/officeDocument/2006/relationships/image" Target="media/image42.png"/><Relationship Id="rId61" Type="http://schemas.openxmlformats.org/officeDocument/2006/relationships/image" Target="media/image41.png"/><Relationship Id="rId60" Type="http://schemas.openxmlformats.org/officeDocument/2006/relationships/image" Target="media/image40.png"/><Relationship Id="rId6" Type="http://schemas.openxmlformats.org/officeDocument/2006/relationships/footer" Target="footer3.xml"/><Relationship Id="rId59" Type="http://schemas.openxmlformats.org/officeDocument/2006/relationships/image" Target="media/image39.png"/><Relationship Id="rId58" Type="http://schemas.openxmlformats.org/officeDocument/2006/relationships/image" Target="media/image38.png"/><Relationship Id="rId57" Type="http://schemas.openxmlformats.org/officeDocument/2006/relationships/image" Target="media/image37.png"/><Relationship Id="rId56" Type="http://schemas.openxmlformats.org/officeDocument/2006/relationships/image" Target="media/image36.png"/><Relationship Id="rId55" Type="http://schemas.openxmlformats.org/officeDocument/2006/relationships/image" Target="media/image35.png"/><Relationship Id="rId54" Type="http://schemas.openxmlformats.org/officeDocument/2006/relationships/image" Target="media/image34.png"/><Relationship Id="rId53" Type="http://schemas.openxmlformats.org/officeDocument/2006/relationships/image" Target="media/image33.png"/><Relationship Id="rId52" Type="http://schemas.openxmlformats.org/officeDocument/2006/relationships/image" Target="media/image32.png"/><Relationship Id="rId51" Type="http://schemas.openxmlformats.org/officeDocument/2006/relationships/image" Target="media/image31.png"/><Relationship Id="rId50" Type="http://schemas.openxmlformats.org/officeDocument/2006/relationships/image" Target="media/image30.png"/><Relationship Id="rId5" Type="http://schemas.openxmlformats.org/officeDocument/2006/relationships/footer" Target="footer2.xml"/><Relationship Id="rId49" Type="http://schemas.openxmlformats.org/officeDocument/2006/relationships/image" Target="media/image29.png"/><Relationship Id="rId48" Type="http://schemas.openxmlformats.org/officeDocument/2006/relationships/image" Target="media/image28.png"/><Relationship Id="rId47" Type="http://schemas.openxmlformats.org/officeDocument/2006/relationships/image" Target="media/image27.png"/><Relationship Id="rId46" Type="http://schemas.openxmlformats.org/officeDocument/2006/relationships/image" Target="media/image26.png"/><Relationship Id="rId45" Type="http://schemas.openxmlformats.org/officeDocument/2006/relationships/image" Target="media/image25.jpeg"/><Relationship Id="rId44" Type="http://schemas.openxmlformats.org/officeDocument/2006/relationships/image" Target="media/image24.jpeg"/><Relationship Id="rId43" Type="http://schemas.openxmlformats.org/officeDocument/2006/relationships/image" Target="media/image23.jpeg"/><Relationship Id="rId42" Type="http://schemas.openxmlformats.org/officeDocument/2006/relationships/image" Target="media/image22.jpeg"/><Relationship Id="rId41" Type="http://schemas.openxmlformats.org/officeDocument/2006/relationships/image" Target="media/image21.jpeg"/><Relationship Id="rId40" Type="http://schemas.openxmlformats.org/officeDocument/2006/relationships/image" Target="media/image20.jpeg"/><Relationship Id="rId4" Type="http://schemas.openxmlformats.org/officeDocument/2006/relationships/footer" Target="footer1.xml"/><Relationship Id="rId39" Type="http://schemas.openxmlformats.org/officeDocument/2006/relationships/image" Target="media/image19.jpeg"/><Relationship Id="rId38" Type="http://schemas.openxmlformats.org/officeDocument/2006/relationships/image" Target="media/image18.jpeg"/><Relationship Id="rId37" Type="http://schemas.openxmlformats.org/officeDocument/2006/relationships/image" Target="media/image17.jpeg"/><Relationship Id="rId36" Type="http://schemas.openxmlformats.org/officeDocument/2006/relationships/image" Target="media/image16.jpeg"/><Relationship Id="rId35" Type="http://schemas.openxmlformats.org/officeDocument/2006/relationships/image" Target="media/image15.jpeg"/><Relationship Id="rId34" Type="http://schemas.openxmlformats.org/officeDocument/2006/relationships/image" Target="media/image14.jpeg"/><Relationship Id="rId33" Type="http://schemas.openxmlformats.org/officeDocument/2006/relationships/image" Target="media/image13.jpeg"/><Relationship Id="rId32" Type="http://schemas.openxmlformats.org/officeDocument/2006/relationships/image" Target="media/image12.jpeg"/><Relationship Id="rId31" Type="http://schemas.openxmlformats.org/officeDocument/2006/relationships/image" Target="media/image11.jpeg"/><Relationship Id="rId30" Type="http://schemas.openxmlformats.org/officeDocument/2006/relationships/image" Target="media/image10.jpeg"/><Relationship Id="rId3" Type="http://schemas.openxmlformats.org/officeDocument/2006/relationships/footnotes" Target="footnotes.xml"/><Relationship Id="rId29" Type="http://schemas.openxmlformats.org/officeDocument/2006/relationships/image" Target="media/image9.png"/><Relationship Id="rId28" Type="http://schemas.openxmlformats.org/officeDocument/2006/relationships/image" Target="media/image8.png"/><Relationship Id="rId27" Type="http://schemas.openxmlformats.org/officeDocument/2006/relationships/image" Target="media/image7.png"/><Relationship Id="rId26" Type="http://schemas.openxmlformats.org/officeDocument/2006/relationships/image" Target="media/image6.png"/><Relationship Id="rId25" Type="http://schemas.openxmlformats.org/officeDocument/2006/relationships/image" Target="media/image5.png"/><Relationship Id="rId24" Type="http://schemas.openxmlformats.org/officeDocument/2006/relationships/image" Target="media/image4.emf"/><Relationship Id="rId23" Type="http://schemas.openxmlformats.org/officeDocument/2006/relationships/oleObject" Target="embeddings/oleObject3.bin"/><Relationship Id="rId22" Type="http://schemas.openxmlformats.org/officeDocument/2006/relationships/image" Target="media/image3.emf"/><Relationship Id="rId21" Type="http://schemas.openxmlformats.org/officeDocument/2006/relationships/oleObject" Target="embeddings/oleObject2.bin"/><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emf"/><Relationship Id="rId18" Type="http://schemas.openxmlformats.org/officeDocument/2006/relationships/oleObject" Target="embeddings/oleObject1.bin"/><Relationship Id="rId17" Type="http://schemas.openxmlformats.org/officeDocument/2006/relationships/theme" Target="theme/theme1.xml"/><Relationship Id="rId16" Type="http://schemas.openxmlformats.org/officeDocument/2006/relationships/footer" Target="footer12.xml"/><Relationship Id="rId15" Type="http://schemas.openxmlformats.org/officeDocument/2006/relationships/header" Target="header1.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90</Pages>
  <Words>9719</Words>
  <Characters>10767</Characters>
  <Lines>0</Lines>
  <Paragraphs>0</Paragraphs>
  <TotalTime>1</TotalTime>
  <ScaleCrop>false</ScaleCrop>
  <LinksUpToDate>false</LinksUpToDate>
  <CharactersWithSpaces>10892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2024-06-28T23:58:00Z</dcterms:created>
  <dc:creator>眼里要有光</dc:creator>
  <cp:lastModifiedBy>Think You Can Wait</cp:lastModifiedBy>
  <cp:lastPrinted>2024-12-16T04:17:00Z</cp:lastPrinted>
  <dcterms:modified xsi:type="dcterms:W3CDTF">2026-05-29T01:01:39Z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51FA468A2D86454AA1896993F1A4F27C</vt:lpwstr>
  </property>
  <property fmtid="{D5CDD505-2E9C-101B-9397-08002B2CF9AE}" pid="4" name="KSOTemplateDocerSaveRecord">
    <vt:lpwstr>eyJoZGlkIjoiNWUyYTBmZjBmNGE2MjgxN2M1OGEwMDFiYWI1OWViNDAiLCJ1c2VySWQiOiI1OTIzNTgzNDcifQ==</vt:lpwstr>
  </property>
</Properties>
</file>